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0B" w:rsidRDefault="008873A6">
      <w:pPr>
        <w:ind w:firstLineChars="294" w:firstLine="708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补体因子D检测试剂盒（胶体金法）使用说明书</w:t>
      </w:r>
    </w:p>
    <w:p w:rsidR="003E600B" w:rsidRDefault="003E600B">
      <w:pPr>
        <w:ind w:firstLineChars="294" w:firstLine="708"/>
        <w:rPr>
          <w:rFonts w:asciiTheme="minorEastAsia" w:hAnsiTheme="minorEastAsia"/>
          <w:b/>
          <w:sz w:val="24"/>
          <w:szCs w:val="24"/>
        </w:rPr>
      </w:pP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【产品名称】</w:t>
      </w:r>
    </w:p>
    <w:p w:rsidR="003E600B" w:rsidRDefault="008873A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通用名称：补体因子D检测试剂盒（胶体金法）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英文名称：</w:t>
      </w:r>
      <w:r>
        <w:rPr>
          <w:rFonts w:asciiTheme="minorEastAsia" w:hAnsiTheme="minorEastAsia" w:cs="Times New Roman"/>
          <w:szCs w:val="21"/>
        </w:rPr>
        <w:t xml:space="preserve">Detection Kit for Complement </w:t>
      </w:r>
      <w:r>
        <w:rPr>
          <w:rFonts w:asciiTheme="minorEastAsia" w:hAnsiTheme="minorEastAsia" w:cs="Times New Roman" w:hint="eastAsia"/>
          <w:szCs w:val="21"/>
        </w:rPr>
        <w:t>F</w:t>
      </w:r>
      <w:r>
        <w:rPr>
          <w:rFonts w:asciiTheme="minorEastAsia" w:hAnsiTheme="minorEastAsia" w:cs="Times New Roman"/>
          <w:szCs w:val="21"/>
        </w:rPr>
        <w:t>actor D (Colloidal Gold)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【包装规格】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1人份/盒， 5人份/盒，25人份/盒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【预期用途】</w:t>
      </w:r>
    </w:p>
    <w:p w:rsidR="003E600B" w:rsidRDefault="008873A6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本产品用于定性检测妊娠期妇女尿液中的补体因子D（</w:t>
      </w:r>
      <w:r>
        <w:rPr>
          <w:rFonts w:asciiTheme="minorEastAsia" w:hAnsiTheme="minorEastAsia" w:cs="Times New Roman" w:hint="eastAsia"/>
          <w:szCs w:val="21"/>
        </w:rPr>
        <w:t>C</w:t>
      </w:r>
      <w:r>
        <w:rPr>
          <w:rFonts w:asciiTheme="minorEastAsia" w:hAnsiTheme="minorEastAsia" w:cs="Times New Roman"/>
          <w:szCs w:val="21"/>
        </w:rPr>
        <w:t xml:space="preserve">omplement </w:t>
      </w:r>
      <w:r>
        <w:rPr>
          <w:rFonts w:asciiTheme="minorEastAsia" w:hAnsiTheme="minorEastAsia" w:cs="Times New Roman" w:hint="eastAsia"/>
          <w:szCs w:val="21"/>
        </w:rPr>
        <w:t>F</w:t>
      </w:r>
      <w:r>
        <w:rPr>
          <w:rFonts w:asciiTheme="minorEastAsia" w:hAnsiTheme="minorEastAsia" w:cs="Times New Roman"/>
          <w:szCs w:val="21"/>
        </w:rPr>
        <w:t>actor D</w:t>
      </w:r>
      <w:r>
        <w:rPr>
          <w:rFonts w:asciiTheme="minorEastAsia" w:hAnsiTheme="minorEastAsia" w:cs="Times New Roman" w:hint="eastAsia"/>
          <w:szCs w:val="21"/>
        </w:rPr>
        <w:t>，CFD</w:t>
      </w:r>
      <w:r>
        <w:rPr>
          <w:rFonts w:asciiTheme="minorEastAsia" w:hAnsiTheme="minorEastAsia" w:hint="eastAsia"/>
          <w:szCs w:val="21"/>
        </w:rPr>
        <w:t>）。适用于子痫前期的辅助诊断和初筛。</w:t>
      </w:r>
    </w:p>
    <w:p w:rsidR="003E600B" w:rsidRDefault="008873A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  <w:bookmarkStart w:id="0" w:name="OLE_LINK15"/>
      <w:bookmarkStart w:id="1" w:name="OLE_LINK16"/>
      <w:r>
        <w:rPr>
          <w:rFonts w:asciiTheme="minorEastAsia" w:hAnsiTheme="minorEastAsia" w:hint="eastAsia"/>
          <w:szCs w:val="21"/>
        </w:rPr>
        <w:t>子痫前期是一种以高血压、蛋白尿为主要特征的</w:t>
      </w:r>
      <w:bookmarkStart w:id="2" w:name="OLE_LINK14"/>
      <w:bookmarkStart w:id="3" w:name="OLE_LINK13"/>
      <w:r>
        <w:rPr>
          <w:rFonts w:asciiTheme="minorEastAsia" w:hAnsiTheme="minorEastAsia" w:hint="eastAsia"/>
          <w:szCs w:val="21"/>
        </w:rPr>
        <w:t>妊娠期</w:t>
      </w:r>
      <w:bookmarkEnd w:id="2"/>
      <w:bookmarkEnd w:id="3"/>
      <w:r>
        <w:rPr>
          <w:rFonts w:asciiTheme="minorEastAsia" w:hAnsiTheme="minorEastAsia" w:hint="eastAsia"/>
          <w:szCs w:val="21"/>
        </w:rPr>
        <w:t>特有疾病。患有子痫前期的孕妇存在不同程度的肾脏损伤，以肾小球损伤为主要标志，包括肾小球体积和毛细血管腔直径的减小，这将导致肾小球毛细血管通透性增加，进而导致高浓度的CFD出现在子痫前期孕妇尿液中。</w:t>
      </w:r>
      <w:r>
        <w:rPr>
          <w:rFonts w:asciiTheme="minorEastAsia" w:hAnsiTheme="minorEastAsia"/>
          <w:szCs w:val="21"/>
        </w:rPr>
        <w:t>子痫前期是一种产科严重并发症,不仅影响孕产妇健康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还可影响后代远期预后</w:t>
      </w:r>
      <w:r>
        <w:rPr>
          <w:rFonts w:asciiTheme="minorEastAsia" w:hAnsiTheme="minorEastAsia" w:hint="eastAsia"/>
          <w:szCs w:val="21"/>
        </w:rPr>
        <w:t>。目前，临床上采用测量24小时蛋白尿结合血压值来诊断子痫前期。子痫前期孕妇尿液中的CFD检测与24小时蛋白尿检测呈高度相关性，所以CFD是作为快速检测子痫前期的合适指标，通过对妇女尿液中CFD的检测，有助于快速诊断子痫前期并尽早进行有效干预和治疗，对子痫前期孕妇与新生儿的健康有重大意义。</w:t>
      </w:r>
      <w:bookmarkEnd w:id="0"/>
      <w:bookmarkEnd w:id="1"/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【检验原理】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3E600B" w:rsidRDefault="008873A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4631690" cy="1958340"/>
            <wp:effectExtent l="19050" t="0" r="0" b="0"/>
            <wp:docPr id="2" name="图片 1" descr="C:\Documents and Settings\Administrator\桌面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660" cy="196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0B" w:rsidRDefault="008873A6">
      <w:pPr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本产品</w:t>
      </w:r>
      <w:r>
        <w:rPr>
          <w:rFonts w:asciiTheme="minorEastAsia" w:hAnsiTheme="minorEastAsia"/>
          <w:bCs/>
          <w:szCs w:val="21"/>
        </w:rPr>
        <w:t>系采用胶体金免疫层析分析原理、双抗</w:t>
      </w:r>
      <w:r>
        <w:rPr>
          <w:rFonts w:asciiTheme="minorEastAsia" w:hAnsiTheme="minorEastAsia" w:hint="eastAsia"/>
          <w:bCs/>
          <w:szCs w:val="21"/>
        </w:rPr>
        <w:t>体</w:t>
      </w:r>
      <w:r>
        <w:rPr>
          <w:rFonts w:asciiTheme="minorEastAsia" w:hAnsiTheme="minorEastAsia"/>
          <w:bCs/>
          <w:szCs w:val="21"/>
        </w:rPr>
        <w:t>夹心法，在玻璃纤维纸上预包</w:t>
      </w:r>
      <w:r>
        <w:rPr>
          <w:rFonts w:asciiTheme="minorEastAsia" w:hAnsiTheme="minorEastAsia" w:hint="eastAsia"/>
          <w:bCs/>
          <w:szCs w:val="21"/>
        </w:rPr>
        <w:t>埋</w:t>
      </w:r>
      <w:r>
        <w:rPr>
          <w:rFonts w:asciiTheme="minorEastAsia" w:hAnsiTheme="minorEastAsia"/>
          <w:bCs/>
          <w:szCs w:val="21"/>
        </w:rPr>
        <w:t>金标记</w:t>
      </w:r>
      <w:r>
        <w:rPr>
          <w:rFonts w:asciiTheme="minorEastAsia" w:hAnsiTheme="minorEastAsia" w:hint="eastAsia"/>
          <w:bCs/>
          <w:szCs w:val="21"/>
        </w:rPr>
        <w:t>的补体因子D单克隆抗体，</w:t>
      </w:r>
      <w:r>
        <w:rPr>
          <w:rFonts w:asciiTheme="minorEastAsia" w:hAnsiTheme="minorEastAsia"/>
          <w:bCs/>
          <w:szCs w:val="21"/>
        </w:rPr>
        <w:t>在硝酸纤维素膜上检测线(T)和质控线(C)分别包被</w:t>
      </w:r>
      <w:r>
        <w:rPr>
          <w:rFonts w:asciiTheme="minorEastAsia" w:hAnsiTheme="minorEastAsia" w:hint="eastAsia"/>
          <w:bCs/>
          <w:szCs w:val="21"/>
        </w:rPr>
        <w:t>CFD多克隆抗体</w:t>
      </w:r>
      <w:r>
        <w:rPr>
          <w:rFonts w:asciiTheme="minorEastAsia" w:hAnsiTheme="minorEastAsia"/>
          <w:bCs/>
          <w:szCs w:val="21"/>
        </w:rPr>
        <w:t>和</w:t>
      </w:r>
      <w:r>
        <w:rPr>
          <w:rFonts w:asciiTheme="minorEastAsia" w:hAnsiTheme="minorEastAsia" w:hint="eastAsia"/>
          <w:bCs/>
          <w:szCs w:val="21"/>
        </w:rPr>
        <w:t>羊抗鼠IgG</w:t>
      </w:r>
      <w:r>
        <w:rPr>
          <w:rFonts w:asciiTheme="minorEastAsia" w:hAnsiTheme="minorEastAsia"/>
          <w:bCs/>
          <w:szCs w:val="21"/>
        </w:rPr>
        <w:t>。当检测样</w:t>
      </w:r>
      <w:r>
        <w:rPr>
          <w:rFonts w:asciiTheme="minorEastAsia" w:hAnsiTheme="minorEastAsia" w:hint="eastAsia"/>
          <w:bCs/>
          <w:szCs w:val="21"/>
        </w:rPr>
        <w:t>本为阳性时</w:t>
      </w:r>
      <w:r>
        <w:rPr>
          <w:rFonts w:asciiTheme="minorEastAsia" w:hAnsiTheme="minorEastAsia"/>
          <w:bCs/>
          <w:szCs w:val="21"/>
        </w:rPr>
        <w:t>，样</w:t>
      </w:r>
      <w:r>
        <w:rPr>
          <w:rFonts w:asciiTheme="minorEastAsia" w:hAnsiTheme="minorEastAsia" w:hint="eastAsia"/>
          <w:bCs/>
          <w:szCs w:val="21"/>
        </w:rPr>
        <w:t>本</w:t>
      </w:r>
      <w:r>
        <w:rPr>
          <w:rFonts w:asciiTheme="minorEastAsia" w:hAnsiTheme="minorEastAsia"/>
          <w:bCs/>
          <w:szCs w:val="21"/>
        </w:rPr>
        <w:t>中</w:t>
      </w:r>
      <w:r>
        <w:rPr>
          <w:rFonts w:asciiTheme="minorEastAsia" w:hAnsiTheme="minorEastAsia" w:hint="eastAsia"/>
          <w:bCs/>
          <w:szCs w:val="21"/>
        </w:rPr>
        <w:t>的CFD</w:t>
      </w:r>
      <w:r>
        <w:rPr>
          <w:rFonts w:asciiTheme="minorEastAsia" w:hAnsiTheme="minorEastAsia"/>
          <w:bCs/>
          <w:szCs w:val="21"/>
        </w:rPr>
        <w:t>与胶体金标记</w:t>
      </w:r>
      <w:r>
        <w:rPr>
          <w:rFonts w:asciiTheme="minorEastAsia" w:hAnsiTheme="minorEastAsia" w:hint="eastAsia"/>
          <w:bCs/>
          <w:szCs w:val="21"/>
        </w:rPr>
        <w:t>CFD单克隆抗体</w:t>
      </w:r>
      <w:r>
        <w:rPr>
          <w:rFonts w:asciiTheme="minorEastAsia" w:hAnsiTheme="minorEastAsia"/>
          <w:bCs/>
          <w:szCs w:val="21"/>
        </w:rPr>
        <w:t>结合形成复合物，由于层析作用复合物沿纸条向前移动，经过检测线(T)时与预包被的</w:t>
      </w:r>
      <w:r>
        <w:rPr>
          <w:rFonts w:asciiTheme="minorEastAsia" w:hAnsiTheme="minorEastAsia" w:hint="eastAsia"/>
          <w:bCs/>
          <w:szCs w:val="21"/>
        </w:rPr>
        <w:t>CFD多克隆抗体</w:t>
      </w:r>
      <w:r>
        <w:rPr>
          <w:rFonts w:asciiTheme="minorEastAsia" w:hAnsiTheme="minorEastAsia"/>
          <w:bCs/>
          <w:szCs w:val="21"/>
        </w:rPr>
        <w:t>反应，形成免疫</w:t>
      </w:r>
      <w:r>
        <w:rPr>
          <w:rFonts w:asciiTheme="minorEastAsia" w:hAnsiTheme="minorEastAsia" w:hint="eastAsia"/>
          <w:bCs/>
          <w:szCs w:val="21"/>
        </w:rPr>
        <w:t>夹心</w:t>
      </w:r>
      <w:r>
        <w:rPr>
          <w:rFonts w:asciiTheme="minorEastAsia" w:hAnsiTheme="minorEastAsia"/>
          <w:bCs/>
          <w:szCs w:val="21"/>
        </w:rPr>
        <w:t>复合物而显现红色条带，游离金标记</w:t>
      </w:r>
      <w:r>
        <w:rPr>
          <w:rFonts w:asciiTheme="minorEastAsia" w:hAnsiTheme="minorEastAsia" w:hint="eastAsia"/>
          <w:bCs/>
          <w:szCs w:val="21"/>
        </w:rPr>
        <w:t>CFD单克隆抗体</w:t>
      </w:r>
      <w:r>
        <w:rPr>
          <w:rFonts w:asciiTheme="minorEastAsia" w:hAnsiTheme="minorEastAsia"/>
          <w:bCs/>
          <w:szCs w:val="21"/>
        </w:rPr>
        <w:t>则在质控线（C）与</w:t>
      </w:r>
      <w:r>
        <w:rPr>
          <w:rFonts w:asciiTheme="minorEastAsia" w:hAnsiTheme="minorEastAsia" w:hint="eastAsia"/>
          <w:bCs/>
          <w:szCs w:val="21"/>
        </w:rPr>
        <w:t>羊抗鼠IgG</w:t>
      </w:r>
      <w:r>
        <w:rPr>
          <w:rFonts w:asciiTheme="minorEastAsia" w:hAnsiTheme="minorEastAsia"/>
          <w:bCs/>
          <w:szCs w:val="21"/>
        </w:rPr>
        <w:t>结合显现红色条带。阴性样</w:t>
      </w:r>
      <w:r>
        <w:rPr>
          <w:rFonts w:asciiTheme="minorEastAsia" w:hAnsiTheme="minorEastAsia" w:hint="eastAsia"/>
          <w:bCs/>
          <w:szCs w:val="21"/>
        </w:rPr>
        <w:t>本</w:t>
      </w:r>
      <w:r>
        <w:rPr>
          <w:rFonts w:asciiTheme="minorEastAsia" w:hAnsiTheme="minorEastAsia"/>
          <w:bCs/>
          <w:szCs w:val="21"/>
        </w:rPr>
        <w:t>则仅在质控线(C)显色。</w:t>
      </w:r>
    </w:p>
    <w:p w:rsidR="003E600B" w:rsidRDefault="008873A6">
      <w:pPr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质控线（C）所显现的红色条带是判定层析过程是否正常的标准，同时也作为试剂的内控标准。</w:t>
      </w:r>
    </w:p>
    <w:p w:rsidR="003E600B" w:rsidRDefault="008873A6">
      <w:pPr>
        <w:ind w:firstLineChars="150" w:firstLine="315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bCs/>
          <w:szCs w:val="21"/>
        </w:rPr>
        <w:t>检测时，将待检样本滴加于</w:t>
      </w:r>
      <w:r>
        <w:rPr>
          <w:rFonts w:asciiTheme="minorEastAsia" w:hAnsiTheme="minorEastAsia" w:hint="eastAsia"/>
          <w:bCs/>
          <w:szCs w:val="21"/>
        </w:rPr>
        <w:t>检测卡加样孔</w:t>
      </w:r>
      <w:r>
        <w:rPr>
          <w:rFonts w:asciiTheme="minorEastAsia" w:hAnsiTheme="minorEastAsia"/>
          <w:bCs/>
          <w:szCs w:val="21"/>
        </w:rPr>
        <w:t>处，</w:t>
      </w:r>
      <w:r>
        <w:rPr>
          <w:rFonts w:asciiTheme="minorEastAsia" w:hAnsiTheme="minorEastAsia" w:hint="eastAsia"/>
          <w:szCs w:val="21"/>
        </w:rPr>
        <w:t>10-15</w:t>
      </w:r>
      <w:r>
        <w:rPr>
          <w:rFonts w:asciiTheme="minorEastAsia" w:hAnsiTheme="minorEastAsia"/>
          <w:bCs/>
          <w:szCs w:val="21"/>
        </w:rPr>
        <w:t>分钟观察结果即可。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【主要组成成分】</w:t>
      </w:r>
    </w:p>
    <w:p w:rsidR="003E600B" w:rsidRDefault="008873A6">
      <w:pPr>
        <w:ind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本试剂盒由检测卡、样本稀释液及使用说明书组成，详见下表。</w:t>
      </w:r>
    </w:p>
    <w:tbl>
      <w:tblPr>
        <w:tblStyle w:val="a6"/>
        <w:tblW w:w="8522" w:type="dxa"/>
        <w:tblLayout w:type="fixed"/>
        <w:tblLook w:val="04A0"/>
      </w:tblPr>
      <w:tblGrid>
        <w:gridCol w:w="2376"/>
        <w:gridCol w:w="2048"/>
        <w:gridCol w:w="2049"/>
        <w:gridCol w:w="2049"/>
      </w:tblGrid>
      <w:tr w:rsidR="003E600B">
        <w:tc>
          <w:tcPr>
            <w:tcW w:w="2376" w:type="dxa"/>
            <w:vMerge w:val="restart"/>
            <w:vAlign w:val="center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组成</w:t>
            </w:r>
          </w:p>
        </w:tc>
        <w:tc>
          <w:tcPr>
            <w:tcW w:w="6146" w:type="dxa"/>
            <w:gridSpan w:val="3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包装规格</w:t>
            </w:r>
          </w:p>
        </w:tc>
      </w:tr>
      <w:tr w:rsidR="003E600B">
        <w:tc>
          <w:tcPr>
            <w:tcW w:w="2376" w:type="dxa"/>
            <w:vMerge/>
          </w:tcPr>
          <w:p w:rsidR="003E600B" w:rsidRDefault="003E60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8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1人份/盒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5人份/盒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25人份/盒</w:t>
            </w:r>
          </w:p>
        </w:tc>
      </w:tr>
      <w:tr w:rsidR="003E600B">
        <w:tc>
          <w:tcPr>
            <w:tcW w:w="2376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CFD检测卡</w:t>
            </w:r>
          </w:p>
        </w:tc>
        <w:tc>
          <w:tcPr>
            <w:tcW w:w="2048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1人份×1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1人份×5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1人份×25</w:t>
            </w:r>
          </w:p>
        </w:tc>
      </w:tr>
      <w:tr w:rsidR="003E600B">
        <w:tc>
          <w:tcPr>
            <w:tcW w:w="2376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样本稀释液</w:t>
            </w:r>
          </w:p>
        </w:tc>
        <w:tc>
          <w:tcPr>
            <w:tcW w:w="2048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3mL/瓶×1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3mL/瓶×5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3mL/瓶×25</w:t>
            </w:r>
          </w:p>
        </w:tc>
      </w:tr>
      <w:tr w:rsidR="003E600B">
        <w:tc>
          <w:tcPr>
            <w:tcW w:w="2376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使用说明书</w:t>
            </w:r>
          </w:p>
        </w:tc>
        <w:tc>
          <w:tcPr>
            <w:tcW w:w="2048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1份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1份</w:t>
            </w:r>
          </w:p>
        </w:tc>
        <w:tc>
          <w:tcPr>
            <w:tcW w:w="2049" w:type="dxa"/>
          </w:tcPr>
          <w:p w:rsidR="003E600B" w:rsidRDefault="008873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1份</w:t>
            </w:r>
          </w:p>
        </w:tc>
      </w:tr>
    </w:tbl>
    <w:p w:rsidR="003E600B" w:rsidRDefault="008873A6">
      <w:pPr>
        <w:ind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检测卡由样品垫、胶体金垫、硝酸纤维素（NC）膜、吸水滤纸、PVC底板等组成。</w:t>
      </w:r>
    </w:p>
    <w:p w:rsidR="003E600B" w:rsidRDefault="008873A6">
      <w:pPr>
        <w:ind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NC膜的检测线（T线）处包被</w:t>
      </w:r>
      <w:r>
        <w:rPr>
          <w:rFonts w:asciiTheme="minorEastAsia" w:hAnsiTheme="minor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mg/mL</w:t>
      </w:r>
      <w:r>
        <w:rPr>
          <w:rFonts w:asciiTheme="minorEastAsia" w:hAnsiTheme="minorEastAsia" w:hint="eastAsia"/>
          <w:szCs w:val="21"/>
        </w:rPr>
        <w:t>的CFD多克隆抗体，质控线（C线）处包被</w:t>
      </w:r>
      <w:r>
        <w:rPr>
          <w:rFonts w:asciiTheme="minorEastAsia" w:hAnsiTheme="minor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mg/mL</w:t>
      </w:r>
      <w:r>
        <w:rPr>
          <w:rFonts w:asciiTheme="minorEastAsia" w:hAnsiTheme="minorEastAsia" w:hint="eastAsia"/>
          <w:szCs w:val="21"/>
        </w:rPr>
        <w:t>的羊抗鼠IgG；胶体金垫处包埋5</w:t>
      </w:r>
      <w:r>
        <w:rPr>
          <w:rFonts w:asciiTheme="minorEastAsia" w:hAnsiTheme="minorEastAsia"/>
          <w:szCs w:val="21"/>
        </w:rPr>
        <w:t>μg/m</w:t>
      </w:r>
      <w:r>
        <w:rPr>
          <w:rFonts w:asciiTheme="minorEastAsia" w:hAnsiTheme="minorEastAsia" w:hint="eastAsia"/>
          <w:szCs w:val="21"/>
        </w:rPr>
        <w:t>L的CFD单克隆抗体-胶体金复合物。</w:t>
      </w:r>
    </w:p>
    <w:p w:rsidR="003E600B" w:rsidRDefault="008873A6">
      <w:pPr>
        <w:ind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样本稀释液主要成分为10mM的磷酸盐缓冲液，不同批号的稀释液不能互换使用。</w:t>
      </w:r>
    </w:p>
    <w:p w:rsidR="003E600B" w:rsidRDefault="008873A6">
      <w:pPr>
        <w:ind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试验操作中需要但试剂盒中未提供的器材：尿杯、微量移液器（量程为100-1000μL）和计时器。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b/>
          <w:szCs w:val="21"/>
        </w:rPr>
        <w:t>储存条件及有效期</w:t>
      </w:r>
      <w:r>
        <w:rPr>
          <w:rFonts w:asciiTheme="minorEastAsia" w:hAnsiTheme="minorEastAsia" w:hint="eastAsia"/>
          <w:szCs w:val="21"/>
        </w:rPr>
        <w:t>】</w:t>
      </w:r>
    </w:p>
    <w:p w:rsidR="003E600B" w:rsidRDefault="008873A6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2-30℃避光、干燥储存，防止冷冻，有效期为24个月。</w:t>
      </w:r>
    </w:p>
    <w:p w:rsidR="003E600B" w:rsidRDefault="008873A6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铝箔袋包装的检测卡打开包装后建议1小时内使用，包装打开后放置常温即可。</w:t>
      </w:r>
    </w:p>
    <w:p w:rsidR="003E600B" w:rsidRDefault="008873A6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常规运输，应避免过度振动。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【样本要求】</w:t>
      </w:r>
    </w:p>
    <w:p w:rsidR="003E600B" w:rsidRDefault="00E93759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E93759">
        <w:rPr>
          <w:rFonts w:asciiTheme="minorEastAsia" w:hAnsiTheme="minorEastAsia"/>
          <w:b/>
          <w:szCs w:val="21"/>
        </w:rPr>
        <w:pict>
          <v:group id="_x0000_s1026" style="position:absolute;left:0;text-align:left;margin-left:3.05pt;margin-top:27.45pt;width:407.65pt;height:92.15pt;z-index:251658240" coordorigin="1890,1193" coordsize="10935,2347">
            <v:group id="_x0000_s1027" style="position:absolute;left:3690;top:2406;width:529;height:1089" coordorigin="4950,6780" coordsize="840,1380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28" type="#_x0000_t22" style="position:absolute;left:5025;top:6885;width:705;height:1275"/>
              <v:shape id="_x0000_s1029" type="#_x0000_t22" style="position:absolute;left:5025;top:6780;width:705;height:420" fillcolor="gray" strokecolor="#5a5a5a" strokeweight=".25pt">
                <v:fill r:id="rId10" o:title="浅色横线" type="pattern"/>
              </v:shape>
              <v:shape id="_x0000_s1030" type="#_x0000_t22" style="position:absolute;left:4950;top:7057;width:840;height:143"/>
            </v:group>
            <v:group id="_x0000_s1031" style="position:absolute;left:3111;top:2734;width:525;height:707" coordorigin="1935,6270" coordsize="855,1020">
              <v:shape id="_x0000_s1032" type="#_x0000_t22" style="position:absolute;left:1935;top:6780;width:855;height:510" fillcolor="black">
                <v:fill r:id="rId11" o:title="浅色竖线" type="pattern"/>
                <v:textbox>
                  <w:txbxContent>
                    <w:p w:rsidR="003E600B" w:rsidRDefault="003E600B"/>
                  </w:txbxContent>
                </v:textbox>
              </v:shape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33" type="#_x0000_t8" style="position:absolute;left:2115;top:6270;width:495;height:510;flip:y" fillcolor="gray"/>
            </v:group>
            <v:group id="_x0000_s1034" style="position:absolute;left:4971;top:2065;width:1171;height:1372" coordorigin="7050,3891" coordsize="2055,2175">
              <v:shape id="_x0000_s1035" type="#_x0000_t8" style="position:absolute;left:7050;top:5106;width:1395;height:960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1036" type="#_x0000_t135" style="position:absolute;left:8370;top:5106;width:735;height:277"/>
              <v:group id="_x0000_s1037" style="position:absolute;left:7830;top:3891;width:210;height:1980" coordorigin="7830,6075" coordsize="210,1980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38" type="#_x0000_t127" style="position:absolute;left:7830;top:6780;width:210;height:1275;flip:y"/>
                <v:shape id="_x0000_s1039" type="#_x0000_t22" style="position:absolute;left:7830;top:6075;width:210;height:735"/>
              </v:group>
            </v:group>
            <v:group id="_x0000_s1040" style="position:absolute;left:7310;top:1193;width:486;height:2259" coordorigin="11445,2811" coordsize="840,3360">
              <v:group id="_x0000_s1041" style="position:absolute;left:11790;top:2811;width:210;height:1980" coordorigin="7830,6075" coordsize="210,1980">
                <v:shape id="_x0000_s1042" type="#_x0000_t127" style="position:absolute;left:7830;top:6780;width:210;height:1275;flip:y"/>
                <v:shape id="_x0000_s1043" type="#_x0000_t22" style="position:absolute;left:7830;top:6075;width:210;height:735"/>
              </v:group>
              <v:group id="_x0000_s1044" style="position:absolute;left:11445;top:4791;width:840;height:1380" coordorigin="4950,6780" coordsize="840,1380">
                <v:shape id="_x0000_s1045" type="#_x0000_t22" style="position:absolute;left:5025;top:6885;width:705;height:1275"/>
                <v:shape id="_x0000_s1046" type="#_x0000_t22" style="position:absolute;left:5025;top:6780;width:705;height:420" fillcolor="gray" strokecolor="#5a5a5a" strokeweight=".25pt">
                  <v:fill r:id="rId10" o:title="浅色横线" type="pattern"/>
                </v:shape>
                <v:shape id="_x0000_s1047" type="#_x0000_t22" style="position:absolute;left:4950;top:7057;width:840;height:143"/>
              </v:group>
            </v:group>
            <v:group id="_x0000_s1048" style="position:absolute;left:1890;top:2136;width:533;height:1404" coordorigin="1935,4086" coordsize="855,1980">
              <v:group id="_x0000_s1049" style="position:absolute;left:1935;top:4596;width:855;height:1470" coordorigin="1935,6780" coordsize="855,1470">
                <v:shape id="_x0000_s1050" type="#_x0000_t22" style="position:absolute;left:2010;top:6975;width:705;height:1275"/>
                <v:shape id="_x0000_s1051" type="#_x0000_t22" style="position:absolute;left:1935;top:6780;width:855;height:510" fillcolor="black">
                  <v:fill r:id="rId11" o:title="浅色竖线" type="pattern"/>
                  <v:textbox>
                    <w:txbxContent>
                      <w:p w:rsidR="003E600B" w:rsidRDefault="003E600B"/>
                    </w:txbxContent>
                  </v:textbox>
                </v:shape>
              </v:group>
              <v:shape id="_x0000_s1052" type="#_x0000_t8" style="position:absolute;left:2115;top:4086;width:495;height:510;flip:y" fillcolor="gray"/>
            </v:group>
            <v:shape id="_x0000_s1053" type="#_x0000_t8" style="position:absolute;left:9983;top:2860;width:285;height:379;flip:y" fillcolor="gray"/>
            <v:group id="_x0000_s1054" style="position:absolute;left:10322;top:2136;width:518;height:1316" coordorigin="13080,6660" coordsize="855,1890">
              <v:group id="_x0000_s1055" style="position:absolute;left:13080;top:7080;width:855;height:1470" coordorigin="1935,6780" coordsize="855,1470">
                <v:shape id="_x0000_s1056" type="#_x0000_t22" style="position:absolute;left:2010;top:6975;width:705;height:1275"/>
                <v:shape id="_x0000_s1057" type="#_x0000_t22" style="position:absolute;left:1935;top:6780;width:855;height:510" fillcolor="black">
                  <v:fill r:id="rId11" o:title="浅色竖线" type="pattern"/>
                  <v:textbox>
                    <w:txbxContent>
                      <w:p w:rsidR="003E600B" w:rsidRDefault="003E600B"/>
                    </w:txbxContent>
                  </v:textbox>
                </v:shape>
              </v:group>
              <v:shape id="_x0000_s1058" type="#_x0000_t22" style="position:absolute;left:13275;top:6885;width:465;height:315" fillcolor="gray">
                <v:fill r:id="rId10" o:title="浅色横线" type="pattern"/>
              </v:shape>
              <v:shape id="_x0000_s1059" type="#_x0000_t8" style="position:absolute;left:13357;top:6660;width:293;height:285;flip:y"/>
            </v:group>
            <v:group id="_x0000_s1060" style="position:absolute;left:11527;top:1972;width:1298;height:1342" coordorigin="8895,5721" coordsize="2895,2775">
              <v:group id="_x0000_s1061" style="position:absolute;left:8895;top:7506;width:2895;height:990" coordorigin="8550,9870" coordsize="1890,660">
                <v:roundrect id="_x0000_s1062" style="position:absolute;left:8550;top:9870;width:1890;height:660" arcsize="10923f"/>
                <v:oval id="_x0000_s1063" style="position:absolute;left:8790;top:10095;width:210;height:225"/>
                <v:roundrect id="_x0000_s1064" style="position:absolute;left:9180;top:10080;width:765;height:240" arcsize="10923f"/>
              </v:group>
              <v:group id="_x0000_s1065" style="position:absolute;left:8908;top:5721;width:952;height:1965;flip:y" coordorigin="13080,6660" coordsize="855,1890">
                <v:group id="_x0000_s1066" style="position:absolute;left:13080;top:7080;width:855;height:1470" coordorigin="1935,6780" coordsize="855,1470">
                  <v:shape id="_x0000_s1067" type="#_x0000_t22" style="position:absolute;left:2010;top:6975;width:705;height:1275"/>
                  <v:shape id="_x0000_s1068" type="#_x0000_t22" style="position:absolute;left:1935;top:6780;width:855;height:510" fillcolor="black">
                    <v:fill r:id="rId11" o:title="浅色竖线" type="pattern"/>
                    <v:textbox>
                      <w:txbxContent>
                        <w:p w:rsidR="003E600B" w:rsidRDefault="003E600B"/>
                      </w:txbxContent>
                    </v:textbox>
                  </v:shape>
                </v:group>
                <v:shape id="_x0000_s1069" type="#_x0000_t22" style="position:absolute;left:13275;top:6885;width:465;height:315" fillcolor="gray">
                  <v:fill r:id="rId10" o:title="浅色横线" type="pattern"/>
                </v:shape>
                <v:shape id="_x0000_s1070" type="#_x0000_t8" style="position:absolute;left:13357;top:6660;width:293;height:285;flip:y"/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1" type="#_x0000_t32" style="position:absolute;left:2595;top:2938;width:315;height:0" o:connectortype="straight">
              <v:stroke endarrow="block"/>
            </v:shape>
            <v:shape id="_x0000_s1072" type="#_x0000_t32" style="position:absolute;left:4440;top:2938;width:315;height:0" o:connectortype="straight">
              <v:stroke endarrow="block"/>
            </v:shape>
            <v:group id="_x0000_s1073" style="position:absolute;left:6772;top:2684;width:414;height:594" coordorigin="1935,6270" coordsize="855,1020">
              <v:shape id="_x0000_s1074" type="#_x0000_t22" style="position:absolute;left:1935;top:6780;width:855;height:510" fillcolor="black">
                <v:fill r:id="rId11" o:title="浅色竖线" type="pattern"/>
                <v:textbox>
                  <w:txbxContent>
                    <w:p w:rsidR="003E600B" w:rsidRDefault="003E600B"/>
                  </w:txbxContent>
                </v:textbox>
              </v:shape>
              <v:shape id="_x0000_s1075" type="#_x0000_t8" style="position:absolute;left:2115;top:6270;width:495;height:510;flip:y" fillcolor="gray"/>
            </v:group>
            <v:shape id="_x0000_s1076" type="#_x0000_t32" style="position:absolute;left:6345;top:2981;width:315;height:0" o:connectortype="straight">
              <v:stroke endarrow="block"/>
            </v:shape>
            <v:shape id="_x0000_s1077" type="#_x0000_t32" style="position:absolute;left:7933;top:2938;width:315;height:0" o:connectortype="straight">
              <v:stroke endarrow="block"/>
            </v:shape>
            <v:group id="_x0000_s1078" style="position:absolute;left:9105;top:2744;width:255;height:622" coordorigin="8850,3014" coordsize="255,622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79" type="#_x0000_t19" style="position:absolute;left:8850;top:3104;width:210;height:532;flip:y" coordsize="21600,22497" adj=",155964">
                <v:path o:connectlocs="0,0;21581,22497;0,21600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80" type="#_x0000_t5" style="position:absolute;left:9000;top:3014;width:105;height:163" fillcolor="black"/>
            </v:group>
            <v:group id="_x0000_s1081" style="position:absolute;left:8945;top:2233;width:255;height:627;flip:y" coordorigin="8850,3014" coordsize="255,622">
              <v:shape id="_x0000_s1082" type="#_x0000_t19" style="position:absolute;left:8850;top:3104;width:210;height:532;flip:y" coordsize="21600,22497" adj=",155964">
                <v:path o:connectlocs="0,0;21581,22497;0,21600"/>
              </v:shape>
              <v:shape id="_x0000_s1083" type="#_x0000_t5" style="position:absolute;left:9000;top:3014;width:105;height:163" fillcolor="black"/>
            </v:group>
            <v:shape id="_x0000_s1084" type="#_x0000_t32" style="position:absolute;left:9578;top:2810;width:315;height:0" o:connectortype="straight">
              <v:stroke endarrow="block"/>
            </v:shape>
            <v:shape id="_x0000_s1085" type="#_x0000_t32" style="position:absolute;left:10965;top:2817;width:315;height:0" o:connectortype="straight">
              <v:stroke endarrow="block"/>
            </v:shape>
            <v:group id="_x0000_s1086" style="position:absolute;left:8489;top:2065;width:533;height:1404" coordorigin="1935,4086" coordsize="855,1980">
              <v:group id="_x0000_s1087" style="position:absolute;left:1935;top:4596;width:855;height:1470" coordorigin="1935,6780" coordsize="855,1470">
                <v:shape id="_x0000_s1088" type="#_x0000_t22" style="position:absolute;left:2010;top:6975;width:705;height:1275"/>
                <v:shape id="_x0000_s1089" type="#_x0000_t22" style="position:absolute;left:1935;top:6780;width:855;height:510" fillcolor="black">
                  <v:fill r:id="rId11" o:title="浅色竖线" type="pattern"/>
                  <v:textbox>
                    <w:txbxContent>
                      <w:p w:rsidR="003E600B" w:rsidRDefault="003E600B"/>
                    </w:txbxContent>
                  </v:textbox>
                </v:shape>
              </v:group>
              <v:shape id="_x0000_s1090" type="#_x0000_t8" style="position:absolute;left:2115;top:4086;width:495;height:510;flip:y" fillcolor="gray"/>
            </v:group>
          </v:group>
        </w:pict>
      </w:r>
      <w:r w:rsidR="008873A6">
        <w:rPr>
          <w:rFonts w:asciiTheme="minorEastAsia" w:hAnsiTheme="minorEastAsia" w:hint="eastAsia"/>
          <w:szCs w:val="21"/>
        </w:rPr>
        <w:t>取尿液置于洁净的尿杯中，1小时内完成检测，存放超过1小时可能会由于CFD降解而产生假阴性结果；可常温运输。</w:t>
      </w:r>
    </w:p>
    <w:p w:rsidR="003E600B" w:rsidRDefault="008873A6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应避免使用血尿样本。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【检验方法】</w:t>
      </w:r>
    </w:p>
    <w:p w:rsidR="003E600B" w:rsidRDefault="003E600B">
      <w:pPr>
        <w:rPr>
          <w:rFonts w:asciiTheme="minorEastAsia" w:hAnsiTheme="minorEastAsia"/>
          <w:b/>
          <w:szCs w:val="21"/>
        </w:rPr>
      </w:pPr>
    </w:p>
    <w:p w:rsidR="003E600B" w:rsidRDefault="003E600B">
      <w:pPr>
        <w:rPr>
          <w:rFonts w:asciiTheme="minorEastAsia" w:hAnsiTheme="minorEastAsia"/>
          <w:b/>
          <w:szCs w:val="21"/>
        </w:rPr>
      </w:pPr>
    </w:p>
    <w:p w:rsidR="003E600B" w:rsidRDefault="003E600B">
      <w:pPr>
        <w:rPr>
          <w:rFonts w:asciiTheme="minorEastAsia" w:hAnsiTheme="minorEastAsia"/>
          <w:b/>
          <w:szCs w:val="21"/>
        </w:rPr>
      </w:pPr>
    </w:p>
    <w:p w:rsidR="003E600B" w:rsidRDefault="003E600B">
      <w:pPr>
        <w:rPr>
          <w:rFonts w:asciiTheme="minorEastAsia" w:hAnsiTheme="minorEastAsia"/>
          <w:b/>
          <w:szCs w:val="21"/>
        </w:rPr>
      </w:pPr>
    </w:p>
    <w:p w:rsidR="003E600B" w:rsidRDefault="008873A6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检测前请仔细阅读使用说明书</w:t>
      </w:r>
    </w:p>
    <w:p w:rsidR="003E600B" w:rsidRDefault="008873A6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样本处理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2.1将试剂盒恢复至室温；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2.2打开产品外包装，取出样本稀释液瓶；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2.3将样本稀释液瓶下盖打开，用微量移液器在尿杯中吸取1mL尿液加入瓶内；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2.4盖上瓶盖并拧紧，上下颠倒5次以上使得尿液和样本稀释液完全混匀。</w:t>
      </w:r>
    </w:p>
    <w:p w:rsidR="003E600B" w:rsidRDefault="008873A6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检测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3.1撕开铝箔袋包装，取出检测卡，加样孔面朝上平放；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3.2开启样本稀释液瓶上盖，用拇指和食指挤压瓶身，弃去第一滴后，在加样孔内滴入2滴已处理的样本；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3.3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10-15分钟内判读结果，15分钟后结果无效。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【阳性判断值】</w:t>
      </w:r>
    </w:p>
    <w:p w:rsidR="003E600B" w:rsidRDefault="008873A6">
      <w:pPr>
        <w:ind w:firstLine="4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通过对216例妊娠妇女的尿液检测，经百分位数法统计分析，本产品对补体因子D的阳性判断值为15ng/</w:t>
      </w:r>
      <w:r>
        <w:rPr>
          <w:rFonts w:asciiTheme="minorEastAsia" w:hAnsiTheme="minorEastAsia"/>
          <w:szCs w:val="21"/>
        </w:rPr>
        <w:t>mL</w:t>
      </w:r>
      <w:r>
        <w:rPr>
          <w:rFonts w:asciiTheme="minorEastAsia" w:hAnsiTheme="minorEastAsia" w:hint="eastAsia"/>
          <w:szCs w:val="21"/>
        </w:rPr>
        <w:t>，检测结果≥15ng/</w:t>
      </w:r>
      <w:r>
        <w:rPr>
          <w:rFonts w:asciiTheme="minorEastAsia" w:hAnsiTheme="minorEastAsia"/>
          <w:szCs w:val="21"/>
        </w:rPr>
        <w:t>mL</w:t>
      </w:r>
      <w:r>
        <w:rPr>
          <w:rFonts w:asciiTheme="minorEastAsia" w:hAnsiTheme="minorEastAsia" w:hint="eastAsia"/>
          <w:szCs w:val="21"/>
        </w:rPr>
        <w:t>为阳性，＜15ng/</w:t>
      </w:r>
      <w:r>
        <w:rPr>
          <w:rFonts w:asciiTheme="minorEastAsia" w:hAnsiTheme="minorEastAsia"/>
          <w:szCs w:val="21"/>
        </w:rPr>
        <w:t>mL</w:t>
      </w:r>
      <w:r>
        <w:rPr>
          <w:rFonts w:asciiTheme="minorEastAsia" w:hAnsiTheme="minorEastAsia" w:hint="eastAsia"/>
          <w:szCs w:val="21"/>
        </w:rPr>
        <w:t>为阴性。</w:t>
      </w:r>
    </w:p>
    <w:p w:rsidR="003E600B" w:rsidRDefault="008873A6">
      <w:pPr>
        <w:ind w:firstLine="4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由于地理、人种、性别和年龄等差异，建议各实验室建立自己的阳性判断值。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【检测结果的解释】</w:t>
      </w:r>
    </w:p>
    <w:p w:rsidR="003E600B" w:rsidRDefault="008873A6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noProof/>
          <w:sz w:val="18"/>
          <w:szCs w:val="18"/>
        </w:rPr>
        <w:lastRenderedPageBreak/>
        <w:drawing>
          <wp:inline distT="0" distB="0" distL="0" distR="0">
            <wp:extent cx="3790950" cy="2219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0B" w:rsidRDefault="008873A6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阳性（+）：出现两条红色条带，一条位于检测线（T）,另一条位于质控线（C），表示样本中存在补体因子D且浓度不低于15ng/mL。</w:t>
      </w:r>
    </w:p>
    <w:p w:rsidR="003E600B" w:rsidRDefault="008873A6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阴性（-）：仅质控线（C）出现一条红色条带，检测线（T）无红色条带出现，表示样本中没有补体因子D或补体因子D的浓度低于15ng/mL。</w:t>
      </w:r>
    </w:p>
    <w:p w:rsidR="003E600B" w:rsidRDefault="008873A6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无    效：质控线（C）未出现条带，可能是由于不正确的操作或试剂盒已失效。在任何情况下，应重新测试。如果问题仍然存在，应立即停止使用此批号产品，并与当地供应商联系。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注意：</w:t>
      </w:r>
    </w:p>
    <w:p w:rsidR="003E600B" w:rsidRDefault="008873A6">
      <w:pPr>
        <w:pStyle w:val="a7"/>
        <w:numPr>
          <w:ilvl w:val="0"/>
          <w:numId w:val="4"/>
        </w:num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由于样本中补体因子D的浓度不同，检测线（T）的红色条带会显现出不同深浅的颜色。但颜色的深浅不能作为判断子痫前期轻重程度的依据。</w:t>
      </w:r>
    </w:p>
    <w:p w:rsidR="003E600B" w:rsidRDefault="008873A6">
      <w:pPr>
        <w:pStyle w:val="a7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对于呈阳性反应的样本，需要进一步做复检试验和确认试验。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【检验方法的局限性】</w:t>
      </w:r>
    </w:p>
    <w:p w:rsidR="003E600B" w:rsidRDefault="008873A6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本产品仅用于子痫前期的辅助诊断和初筛，不得作为临床诊治的唯一依据。</w:t>
      </w:r>
    </w:p>
    <w:p w:rsidR="003E600B" w:rsidRDefault="008873A6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本产品仅用于定性检测妊娠期妇女尿液中的补体因子D，不能用于其它样本的检测，也不能确定样本中补体因子D的含量。</w:t>
      </w:r>
    </w:p>
    <w:p w:rsidR="003E600B" w:rsidRDefault="008873A6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由于其它原因导致肾脏损伤的病人或尿液中混有血液，检测结果可能受到影响，建议结合临床其它检测结果综合判断。</w:t>
      </w:r>
    </w:p>
    <w:p w:rsidR="003E600B" w:rsidRDefault="008873A6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由于个体差异，可能出现极少数子痫前期妇女尿液中补体因子D浓度偏低，或非子痫前期妇女尿液中补体因子D浓度偏高，从而产生假阴性或假阳性结果，建议结合临床其它检测结果综合判断。</w:t>
      </w:r>
    </w:p>
    <w:p w:rsidR="003E600B" w:rsidRDefault="008873A6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该产品的HOOK效应不会影响临床检验结果。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【产品性能指标】</w:t>
      </w:r>
    </w:p>
    <w:p w:rsidR="003E600B" w:rsidRDefault="008873A6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物理性状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1.1外观</w:t>
      </w:r>
    </w:p>
    <w:p w:rsidR="003E600B" w:rsidRDefault="008F5C7D">
      <w:pPr>
        <w:pStyle w:val="a7"/>
        <w:rPr>
          <w:rFonts w:asciiTheme="minorEastAsia" w:hAnsiTheme="minorEastAsia"/>
          <w:szCs w:val="21"/>
        </w:rPr>
      </w:pPr>
      <w:r w:rsidRPr="008F5C7D">
        <w:rPr>
          <w:rFonts w:ascii="宋体" w:hAnsi="宋体" w:hint="eastAsia"/>
          <w:szCs w:val="21"/>
          <w:highlight w:val="yellow"/>
        </w:rPr>
        <w:t>检</w:t>
      </w:r>
      <w:r w:rsidR="008873A6" w:rsidRPr="008F5C7D">
        <w:rPr>
          <w:rFonts w:ascii="宋体" w:hAnsi="宋体" w:hint="eastAsia"/>
          <w:szCs w:val="21"/>
          <w:highlight w:val="yellow"/>
        </w:rPr>
        <w:t>测卡</w:t>
      </w:r>
      <w:r w:rsidR="008873A6">
        <w:rPr>
          <w:rFonts w:ascii="宋体" w:hAnsi="宋体" w:hint="eastAsia"/>
          <w:szCs w:val="21"/>
        </w:rPr>
        <w:t>外观应整洁完整、无毛刺、无破损、无污染；稀释液瓶无漏液，标签清晰，液体无色澄清。</w:t>
      </w:r>
      <w:r w:rsidR="008873A6">
        <w:rPr>
          <w:rFonts w:ascii="宋体"/>
          <w:szCs w:val="21"/>
        </w:rPr>
        <w:t xml:space="preserve"> </w:t>
      </w:r>
      <w:r w:rsidR="008873A6">
        <w:rPr>
          <w:rFonts w:asciiTheme="minorEastAsia" w:hAnsiTheme="minorEastAsia"/>
          <w:szCs w:val="21"/>
        </w:rPr>
        <w:t xml:space="preserve"> 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1.2 宽度</w:t>
      </w:r>
      <w:r>
        <w:rPr>
          <w:rFonts w:asciiTheme="minorEastAsia" w:hAnsiTheme="minorEastAsia"/>
          <w:szCs w:val="21"/>
        </w:rPr>
        <w:t xml:space="preserve"> 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="宋体" w:hint="eastAsia"/>
          <w:szCs w:val="21"/>
        </w:rPr>
        <w:t>检测CFD试纸的宽度应≥2.5 mm。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1.3 移行速度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液体移行速度应不低于10 mm/min。</w:t>
      </w:r>
    </w:p>
    <w:p w:rsidR="003E600B" w:rsidRDefault="008873A6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最低检测限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最低检测限应不高于15 ng/mL，且阴性质控品检测结果不得为阳性。</w:t>
      </w:r>
    </w:p>
    <w:p w:rsidR="003E600B" w:rsidRDefault="008873A6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准确性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用三个不同浓度的CFD阳性质控品进行检测，结果应均为阳性。</w:t>
      </w:r>
    </w:p>
    <w:p w:rsidR="003E600B" w:rsidRDefault="008873A6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分析特异性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4.1阴性特异性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分别用含有1 mg/mL白蛋白、1 mg/mL维生素C的0 ng/mL CFD液进行检测，结果应均为阴性。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4.2 阳性特异性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分别用含有1 mg/mL白蛋白、1 mg/mL维生素C的25ng/mL CFD液进行检测，结果应均为阳性。</w:t>
      </w:r>
    </w:p>
    <w:p w:rsidR="003E600B" w:rsidRDefault="008873A6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重复性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取同一批号的试纸10支，以浓度为 50 ng/mL的CFD阳性质控品测定，反应结果应一致，显色度均一。</w:t>
      </w:r>
    </w:p>
    <w:p w:rsidR="003E600B" w:rsidRDefault="008873A6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批间差</w:t>
      </w:r>
    </w:p>
    <w:p w:rsidR="003E600B" w:rsidRDefault="008873A6">
      <w:pPr>
        <w:pStyle w:val="a7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取三个批号的试纸，对重复性进行检测，三个批号试纸的测试结果应一致，显色度均一。</w:t>
      </w:r>
    </w:p>
    <w:p w:rsidR="003E600B" w:rsidRDefault="008873A6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稳定性</w:t>
      </w:r>
    </w:p>
    <w:p w:rsidR="003E600B" w:rsidRDefault="008873A6">
      <w:pPr>
        <w:pStyle w:val="a7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试剂盒在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 xml:space="preserve"> ℃～30 ℃下保存，在有效期之后的一个月内分别检测以上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～5项，结果应符合各项目的要求。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【注意事项】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本产品仅用于体外诊断。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使用前请检查本产品是否在有效期内，以及包装的密封状况。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样本处理时，须严格按照使用说明书中样本处理方法进行操作，操作不当可能会影响检测结果的准确性。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试剂盒可在室温下保存，谨防受潮，忌冷冻。低温下保存的试剂应平衡至室温方可使用。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检测卡从包装中取出后，应尽快进行实验，置于空气中时间过长，会受潮失效。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加样量过多可能导致样本回流，造成错误的检测结果。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在环境温度低于10℃或者高于40℃以及相对湿度高于80%时不能保证检测的准确性。</w:t>
      </w:r>
    </w:p>
    <w:p w:rsidR="003E600B" w:rsidRDefault="008873A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本产品为一次性使用试剂，不可重复使用，所有样本试剂应按潜在传染物对待，需按医疗机构相关规定处理相应废弃物。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【参考文献】</w:t>
      </w:r>
    </w:p>
    <w:p w:rsidR="003E600B" w:rsidRDefault="008873A6">
      <w:pPr>
        <w:autoSpaceDE w:val="0"/>
        <w:autoSpaceDN w:val="0"/>
        <w:adjustRightInd w:val="0"/>
        <w:jc w:val="left"/>
        <w:rPr>
          <w:rFonts w:asciiTheme="minorEastAsia" w:hAnsiTheme="minorEastAsia" w:cs="Times-Roman"/>
          <w:kern w:val="0"/>
          <w:szCs w:val="21"/>
        </w:rPr>
      </w:pPr>
      <w:r>
        <w:rPr>
          <w:rFonts w:asciiTheme="minorEastAsia" w:hAnsiTheme="minorEastAsia" w:cs="宋体" w:hint="eastAsia"/>
          <w:szCs w:val="21"/>
        </w:rPr>
        <w:t>[1]</w:t>
      </w:r>
      <w:r>
        <w:rPr>
          <w:rFonts w:asciiTheme="minorEastAsia" w:hAnsiTheme="minorEastAsia" w:cs="Times-Roman"/>
          <w:kern w:val="0"/>
          <w:szCs w:val="21"/>
        </w:rPr>
        <w:t>Tao Wang,</w:t>
      </w:r>
      <w:r>
        <w:rPr>
          <w:rFonts w:asciiTheme="minorEastAsia" w:hAnsiTheme="minorEastAsia" w:cs="Times-Roman" w:hint="eastAsia"/>
          <w:kern w:val="0"/>
          <w:szCs w:val="21"/>
        </w:rPr>
        <w:t xml:space="preserve"> </w:t>
      </w:r>
      <w:proofErr w:type="spellStart"/>
      <w:r>
        <w:rPr>
          <w:rFonts w:asciiTheme="minorEastAsia" w:hAnsiTheme="minorEastAsia" w:cs="Times-Roman"/>
          <w:kern w:val="0"/>
          <w:szCs w:val="21"/>
        </w:rPr>
        <w:t>Rong</w:t>
      </w:r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Zhou</w:t>
      </w:r>
      <w:r>
        <w:rPr>
          <w:rFonts w:asciiTheme="minorEastAsia" w:hAnsiTheme="minorEastAsia" w:cs="Times-Roman" w:hint="eastAsia"/>
          <w:kern w:val="0"/>
          <w:szCs w:val="21"/>
        </w:rPr>
        <w:t xml:space="preserve">, </w:t>
      </w:r>
      <w:proofErr w:type="spellStart"/>
      <w:r>
        <w:rPr>
          <w:rFonts w:asciiTheme="minorEastAsia" w:hAnsiTheme="minorEastAsia" w:cs="Times-Roman"/>
          <w:kern w:val="0"/>
          <w:szCs w:val="21"/>
        </w:rPr>
        <w:t>Linbo</w:t>
      </w:r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</w:t>
      </w:r>
      <w:proofErr w:type="spellStart"/>
      <w:r>
        <w:rPr>
          <w:rFonts w:asciiTheme="minorEastAsia" w:hAnsiTheme="minorEastAsia" w:cs="Times-Roman"/>
          <w:kern w:val="0"/>
          <w:szCs w:val="21"/>
        </w:rPr>
        <w:t>Gao</w:t>
      </w:r>
      <w:proofErr w:type="spellEnd"/>
      <w:r>
        <w:rPr>
          <w:rFonts w:asciiTheme="minorEastAsia" w:hAnsiTheme="minorEastAsia" w:cs="Times-Roman" w:hint="eastAsia"/>
          <w:kern w:val="0"/>
          <w:szCs w:val="21"/>
        </w:rPr>
        <w:t xml:space="preserve">, </w:t>
      </w:r>
      <w:r>
        <w:rPr>
          <w:rFonts w:asciiTheme="minorEastAsia" w:hAnsiTheme="minorEastAsia" w:cs="Times-Roman"/>
          <w:kern w:val="0"/>
          <w:szCs w:val="21"/>
        </w:rPr>
        <w:t> et al</w:t>
      </w:r>
      <w:r>
        <w:rPr>
          <w:rFonts w:asciiTheme="minorEastAsia" w:hAnsiTheme="minorEastAsia" w:cs="Times-Roman" w:hint="eastAsia"/>
          <w:kern w:val="0"/>
          <w:szCs w:val="21"/>
        </w:rPr>
        <w:t xml:space="preserve">. </w:t>
      </w:r>
      <w:r>
        <w:rPr>
          <w:rFonts w:asciiTheme="minorEastAsia" w:hAnsiTheme="minorEastAsia" w:cs="Times-Roman"/>
          <w:kern w:val="0"/>
          <w:szCs w:val="21"/>
        </w:rPr>
        <w:t xml:space="preserve">Elevation of Urinary </w:t>
      </w:r>
      <w:bookmarkStart w:id="4" w:name="OLE_LINK10"/>
      <w:bookmarkStart w:id="5" w:name="OLE_LINK9"/>
      <w:proofErr w:type="spellStart"/>
      <w:r>
        <w:rPr>
          <w:rFonts w:asciiTheme="minorEastAsia" w:hAnsiTheme="minorEastAsia" w:cs="Times-Roman"/>
          <w:kern w:val="0"/>
          <w:szCs w:val="21"/>
        </w:rPr>
        <w:t>Adipsin</w:t>
      </w:r>
      <w:bookmarkEnd w:id="4"/>
      <w:bookmarkEnd w:id="5"/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in Preeclampsia</w:t>
      </w:r>
      <w:r>
        <w:rPr>
          <w:rFonts w:asciiTheme="minorEastAsia" w:hAnsiTheme="minorEastAsia" w:cs="Times-Roman" w:hint="eastAsia"/>
          <w:kern w:val="0"/>
          <w:szCs w:val="21"/>
        </w:rPr>
        <w:t xml:space="preserve"> </w:t>
      </w:r>
      <w:r>
        <w:rPr>
          <w:rFonts w:asciiTheme="minorEastAsia" w:hAnsiTheme="minorEastAsia" w:cs="Times-Roman"/>
          <w:kern w:val="0"/>
          <w:szCs w:val="21"/>
        </w:rPr>
        <w:t>Correlation With Urine Protein Concentration and the Potential Use for a</w:t>
      </w:r>
      <w:r>
        <w:rPr>
          <w:rFonts w:asciiTheme="minorEastAsia" w:hAnsiTheme="minorEastAsia" w:cs="Times-Roman" w:hint="eastAsia"/>
          <w:kern w:val="0"/>
          <w:szCs w:val="21"/>
        </w:rPr>
        <w:t xml:space="preserve"> </w:t>
      </w:r>
      <w:r>
        <w:rPr>
          <w:rFonts w:asciiTheme="minorEastAsia" w:hAnsiTheme="minorEastAsia" w:cs="Times-Roman"/>
          <w:kern w:val="0"/>
          <w:szCs w:val="21"/>
        </w:rPr>
        <w:t>Rapid Diagnostic Test</w:t>
      </w:r>
      <w:r>
        <w:rPr>
          <w:rFonts w:asciiTheme="minorEastAsia" w:hAnsiTheme="minorEastAsia" w:cs="Times-Roman" w:hint="eastAsia"/>
          <w:kern w:val="0"/>
          <w:szCs w:val="21"/>
        </w:rPr>
        <w:t>[J].</w:t>
      </w:r>
      <w:bookmarkStart w:id="6" w:name="OLE_LINK5"/>
      <w:bookmarkStart w:id="7" w:name="OLE_LINK6"/>
      <w:r>
        <w:rPr>
          <w:rFonts w:asciiTheme="minorEastAsia" w:hAnsiTheme="minorEastAsia" w:cs="Times-Roman" w:hint="eastAsia"/>
          <w:kern w:val="0"/>
          <w:szCs w:val="21"/>
        </w:rPr>
        <w:t xml:space="preserve"> </w:t>
      </w:r>
      <w:r>
        <w:rPr>
          <w:rFonts w:asciiTheme="minorEastAsia" w:hAnsiTheme="minorEastAsia" w:cs="Times-Roman"/>
          <w:kern w:val="0"/>
          <w:szCs w:val="21"/>
        </w:rPr>
        <w:t>Hypertension</w:t>
      </w:r>
      <w:bookmarkEnd w:id="6"/>
      <w:bookmarkEnd w:id="7"/>
      <w:r>
        <w:rPr>
          <w:rFonts w:asciiTheme="minorEastAsia" w:hAnsiTheme="minorEastAsia" w:cs="Times-Roman" w:hint="eastAsia"/>
          <w:kern w:val="0"/>
          <w:szCs w:val="21"/>
        </w:rPr>
        <w:t>, 2014, 64(4):846-851.</w:t>
      </w:r>
    </w:p>
    <w:p w:rsidR="003E600B" w:rsidRDefault="008873A6">
      <w:pPr>
        <w:rPr>
          <w:rFonts w:asciiTheme="minorEastAsia" w:hAnsiTheme="minorEastAsia" w:cs="Times-Roman"/>
          <w:kern w:val="0"/>
          <w:szCs w:val="21"/>
        </w:rPr>
      </w:pPr>
      <w:r>
        <w:rPr>
          <w:rFonts w:asciiTheme="minorEastAsia" w:hAnsiTheme="minorEastAsia" w:cs="Times-Roman" w:hint="eastAsia"/>
          <w:kern w:val="0"/>
          <w:szCs w:val="21"/>
        </w:rPr>
        <w:t>[2]</w:t>
      </w:r>
      <w:r>
        <w:rPr>
          <w:rFonts w:asciiTheme="minorEastAsia" w:hAnsiTheme="minorEastAsia" w:cs="OpenSans-Semibold"/>
          <w:kern w:val="0"/>
          <w:szCs w:val="21"/>
        </w:rPr>
        <w:t xml:space="preserve"> </w:t>
      </w:r>
      <w:r>
        <w:rPr>
          <w:rFonts w:asciiTheme="minorEastAsia" w:hAnsiTheme="minorEastAsia" w:cs="Times-Roman"/>
          <w:kern w:val="0"/>
          <w:szCs w:val="21"/>
        </w:rPr>
        <w:t>Tao Wang,</w:t>
      </w:r>
      <w:r>
        <w:rPr>
          <w:rFonts w:asciiTheme="minorEastAsia" w:hAnsiTheme="minorEastAsia" w:cs="Times-Roman" w:hint="eastAsia"/>
          <w:kern w:val="0"/>
          <w:szCs w:val="21"/>
        </w:rPr>
        <w:t xml:space="preserve"> </w:t>
      </w:r>
      <w:proofErr w:type="spellStart"/>
      <w:r>
        <w:rPr>
          <w:rFonts w:asciiTheme="minorEastAsia" w:hAnsiTheme="minorEastAsia" w:cs="Times-Roman"/>
          <w:kern w:val="0"/>
          <w:szCs w:val="21"/>
        </w:rPr>
        <w:t>Rong</w:t>
      </w:r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Zhou</w:t>
      </w:r>
      <w:r>
        <w:rPr>
          <w:rFonts w:asciiTheme="minorEastAsia" w:hAnsiTheme="minorEastAsia" w:cs="Times-Roman" w:hint="eastAsia"/>
          <w:kern w:val="0"/>
          <w:szCs w:val="21"/>
        </w:rPr>
        <w:t xml:space="preserve">, </w:t>
      </w:r>
      <w:proofErr w:type="spellStart"/>
      <w:r>
        <w:rPr>
          <w:rFonts w:asciiTheme="minorEastAsia" w:hAnsiTheme="minorEastAsia" w:cs="Times-Roman"/>
          <w:kern w:val="0"/>
          <w:szCs w:val="21"/>
        </w:rPr>
        <w:t>Linbo</w:t>
      </w:r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</w:t>
      </w:r>
      <w:proofErr w:type="spellStart"/>
      <w:r>
        <w:rPr>
          <w:rFonts w:asciiTheme="minorEastAsia" w:hAnsiTheme="minorEastAsia" w:cs="Times-Roman"/>
          <w:kern w:val="0"/>
          <w:szCs w:val="21"/>
        </w:rPr>
        <w:t>Gao</w:t>
      </w:r>
      <w:proofErr w:type="spellEnd"/>
      <w:r>
        <w:rPr>
          <w:rFonts w:asciiTheme="minorEastAsia" w:hAnsiTheme="minorEastAsia" w:cs="Times-Roman" w:hint="eastAsia"/>
          <w:kern w:val="0"/>
          <w:szCs w:val="21"/>
        </w:rPr>
        <w:t xml:space="preserve">, </w:t>
      </w:r>
      <w:r>
        <w:rPr>
          <w:rFonts w:asciiTheme="minorEastAsia" w:hAnsiTheme="minorEastAsia" w:cs="Times-Roman"/>
          <w:kern w:val="0"/>
          <w:szCs w:val="21"/>
        </w:rPr>
        <w:t>et al</w:t>
      </w:r>
      <w:r>
        <w:rPr>
          <w:rFonts w:asciiTheme="minorEastAsia" w:hAnsiTheme="minorEastAsia" w:cs="Times-Roman" w:hint="eastAsia"/>
          <w:kern w:val="0"/>
          <w:szCs w:val="21"/>
        </w:rPr>
        <w:t>.</w:t>
      </w:r>
      <w:r>
        <w:rPr>
          <w:rFonts w:asciiTheme="minorEastAsia" w:hAnsiTheme="minorEastAsia" w:cs="Times-Roman"/>
          <w:kern w:val="0"/>
          <w:szCs w:val="21"/>
        </w:rPr>
        <w:t xml:space="preserve"> </w:t>
      </w:r>
      <w:bookmarkStart w:id="8" w:name="OLE_LINK7"/>
      <w:bookmarkStart w:id="9" w:name="OLE_LINK8"/>
      <w:r>
        <w:rPr>
          <w:rFonts w:asciiTheme="minorEastAsia" w:hAnsiTheme="minorEastAsia" w:cs="Times-Roman"/>
          <w:kern w:val="0"/>
          <w:szCs w:val="21"/>
        </w:rPr>
        <w:t>Clinical assessment of the</w:t>
      </w:r>
      <w:r>
        <w:rPr>
          <w:rFonts w:asciiTheme="minorEastAsia" w:hAnsiTheme="minorEastAsia" w:cs="Times-Roman" w:hint="eastAsia"/>
          <w:kern w:val="0"/>
          <w:szCs w:val="21"/>
        </w:rPr>
        <w:t xml:space="preserve"> </w:t>
      </w:r>
      <w:r>
        <w:rPr>
          <w:rFonts w:asciiTheme="minorEastAsia" w:hAnsiTheme="minorEastAsia" w:cs="Times-Roman"/>
          <w:kern w:val="0"/>
          <w:szCs w:val="21"/>
        </w:rPr>
        <w:t xml:space="preserve">specificity of an </w:t>
      </w:r>
      <w:proofErr w:type="spellStart"/>
      <w:r>
        <w:rPr>
          <w:rFonts w:asciiTheme="minorEastAsia" w:hAnsiTheme="minorEastAsia" w:cs="Times-Roman"/>
          <w:kern w:val="0"/>
          <w:szCs w:val="21"/>
        </w:rPr>
        <w:t>adipsin</w:t>
      </w:r>
      <w:proofErr w:type="spellEnd"/>
      <w:r>
        <w:rPr>
          <w:rFonts w:asciiTheme="minorEastAsia" w:hAnsiTheme="minorEastAsia" w:cs="Times-Roman" w:hint="eastAsia"/>
          <w:kern w:val="0"/>
          <w:szCs w:val="21"/>
        </w:rPr>
        <w:t xml:space="preserve"> </w:t>
      </w:r>
      <w:r>
        <w:rPr>
          <w:rFonts w:asciiTheme="minorEastAsia" w:hAnsiTheme="minorEastAsia" w:cs="Times-Roman"/>
          <w:kern w:val="0"/>
          <w:szCs w:val="21"/>
        </w:rPr>
        <w:t>rapid test for the diagnosis of preeclampsia</w:t>
      </w:r>
      <w:bookmarkEnd w:id="8"/>
      <w:bookmarkEnd w:id="9"/>
      <w:r>
        <w:rPr>
          <w:rFonts w:asciiTheme="minorEastAsia" w:hAnsiTheme="minorEastAsia" w:cs="Times-Roman"/>
          <w:kern w:val="0"/>
          <w:szCs w:val="21"/>
        </w:rPr>
        <w:t>[J]</w:t>
      </w:r>
      <w:r>
        <w:rPr>
          <w:rFonts w:asciiTheme="minorEastAsia" w:hAnsiTheme="minorEastAsia" w:cs="Times-Roman" w:hint="eastAsia"/>
          <w:kern w:val="0"/>
          <w:szCs w:val="21"/>
        </w:rPr>
        <w:t>.</w:t>
      </w:r>
      <w:r>
        <w:rPr>
          <w:rFonts w:asciiTheme="minorEastAsia" w:hAnsiTheme="minorEastAsia" w:cs="Times-Roman"/>
          <w:kern w:val="0"/>
          <w:szCs w:val="21"/>
        </w:rPr>
        <w:t xml:space="preserve"> Hypertension in Pregnancy</w:t>
      </w:r>
      <w:r>
        <w:rPr>
          <w:rFonts w:asciiTheme="minorEastAsia" w:hAnsiTheme="minorEastAsia" w:cs="Times-Roman" w:hint="eastAsia"/>
          <w:kern w:val="0"/>
          <w:szCs w:val="21"/>
        </w:rPr>
        <w:t>, 2016, 35(3): 420-425.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-Roman" w:hint="eastAsia"/>
          <w:kern w:val="0"/>
          <w:szCs w:val="21"/>
        </w:rPr>
        <w:t xml:space="preserve">[3] </w:t>
      </w:r>
      <w:r>
        <w:rPr>
          <w:rFonts w:asciiTheme="minorEastAsia" w:hAnsiTheme="minorEastAsia" w:cs="Times-Roman"/>
          <w:kern w:val="0"/>
        </w:rPr>
        <w:t xml:space="preserve">Natalia E. </w:t>
      </w:r>
      <w:proofErr w:type="spellStart"/>
      <w:r>
        <w:rPr>
          <w:rFonts w:asciiTheme="minorEastAsia" w:hAnsiTheme="minorEastAsia" w:cs="Times-Roman"/>
          <w:kern w:val="0"/>
        </w:rPr>
        <w:t>Poveda</w:t>
      </w:r>
      <w:proofErr w:type="spellEnd"/>
      <w:r>
        <w:rPr>
          <w:rFonts w:asciiTheme="minorEastAsia" w:hAnsiTheme="minorEastAsia" w:cs="Times-Roman"/>
          <w:kern w:val="0"/>
        </w:rPr>
        <w:t xml:space="preserve">, </w:t>
      </w:r>
      <w:proofErr w:type="spellStart"/>
      <w:r>
        <w:rPr>
          <w:rFonts w:asciiTheme="minorEastAsia" w:hAnsiTheme="minorEastAsia" w:cs="Times-Roman"/>
          <w:kern w:val="0"/>
        </w:rPr>
        <w:t>María</w:t>
      </w:r>
      <w:proofErr w:type="spellEnd"/>
      <w:r>
        <w:rPr>
          <w:rFonts w:asciiTheme="minorEastAsia" w:hAnsiTheme="minorEastAsia" w:cs="Times-Roman"/>
          <w:kern w:val="0"/>
        </w:rPr>
        <w:t xml:space="preserve"> F. </w:t>
      </w:r>
      <w:proofErr w:type="spellStart"/>
      <w:r>
        <w:rPr>
          <w:rFonts w:asciiTheme="minorEastAsia" w:hAnsiTheme="minorEastAsia" w:cs="Times-Roman"/>
          <w:kern w:val="0"/>
        </w:rPr>
        <w:t>Garcés</w:t>
      </w:r>
      <w:proofErr w:type="spellEnd"/>
      <w:r>
        <w:rPr>
          <w:rFonts w:asciiTheme="minorEastAsia" w:hAnsiTheme="minorEastAsia" w:cs="Times-Roman"/>
          <w:kern w:val="0"/>
        </w:rPr>
        <w:t>, Carlos E. Ruiz-Linares Serum</w:t>
      </w:r>
      <w:r>
        <w:rPr>
          <w:rFonts w:asciiTheme="minorEastAsia" w:hAnsiTheme="minorEastAsia" w:cs="Times-Roman" w:hint="eastAsia"/>
          <w:kern w:val="0"/>
        </w:rPr>
        <w:t>, et al.</w:t>
      </w:r>
      <w:r>
        <w:rPr>
          <w:rFonts w:asciiTheme="minorEastAsia" w:hAnsiTheme="minorEastAsia" w:cs="Times-Roman"/>
          <w:kern w:val="0"/>
        </w:rPr>
        <w:t xml:space="preserve"> </w:t>
      </w:r>
      <w:proofErr w:type="spellStart"/>
      <w:r>
        <w:rPr>
          <w:rFonts w:asciiTheme="minorEastAsia" w:hAnsiTheme="minorEastAsia" w:cs="Times-Roman"/>
          <w:kern w:val="0"/>
        </w:rPr>
        <w:t>Adipsin</w:t>
      </w:r>
      <w:proofErr w:type="spellEnd"/>
      <w:r>
        <w:rPr>
          <w:rFonts w:asciiTheme="minorEastAsia" w:hAnsiTheme="minorEastAsia" w:cs="Times-Roman"/>
          <w:kern w:val="0"/>
        </w:rPr>
        <w:t xml:space="preserve"> Levels throughout Normal Pregnancy and Preeclampsia</w:t>
      </w:r>
      <w:r>
        <w:rPr>
          <w:rFonts w:asciiTheme="minorEastAsia" w:hAnsiTheme="minorEastAsia" w:cs="Times-Roman" w:hint="eastAsia"/>
          <w:kern w:val="0"/>
        </w:rPr>
        <w:t xml:space="preserve"> </w:t>
      </w:r>
      <w:r>
        <w:rPr>
          <w:rFonts w:asciiTheme="minorEastAsia" w:hAnsiTheme="minorEastAsia"/>
          <w:szCs w:val="21"/>
        </w:rPr>
        <w:t>[J]</w:t>
      </w:r>
      <w:r>
        <w:rPr>
          <w:rFonts w:asciiTheme="minorEastAsia" w:hAnsiTheme="minorEastAsia" w:hint="eastAsia"/>
          <w:szCs w:val="21"/>
        </w:rPr>
        <w:t xml:space="preserve">. </w:t>
      </w:r>
      <w:r>
        <w:rPr>
          <w:rFonts w:asciiTheme="minorEastAsia" w:hAnsiTheme="minorEastAsia" w:cs="Times-Roman"/>
          <w:kern w:val="0"/>
          <w:szCs w:val="21"/>
        </w:rPr>
        <w:t>Scientific Reports</w:t>
      </w:r>
      <w:r>
        <w:rPr>
          <w:rFonts w:asciiTheme="minorEastAsia" w:hAnsiTheme="minorEastAsia" w:cs="Times-Roman" w:hint="eastAsia"/>
          <w:kern w:val="0"/>
          <w:szCs w:val="21"/>
        </w:rPr>
        <w:t>, 2016.</w:t>
      </w:r>
    </w:p>
    <w:p w:rsidR="003E600B" w:rsidRDefault="008873A6">
      <w:pPr>
        <w:rPr>
          <w:rFonts w:asciiTheme="minorEastAsia" w:hAnsiTheme="minorEastAsia" w:cs="Times-Roman"/>
          <w:kern w:val="0"/>
        </w:rPr>
      </w:pPr>
      <w:r>
        <w:rPr>
          <w:rFonts w:asciiTheme="minorEastAsia" w:hAnsiTheme="minorEastAsia" w:cs="Times-Roman" w:hint="eastAsia"/>
          <w:kern w:val="0"/>
          <w:szCs w:val="21"/>
        </w:rPr>
        <w:t xml:space="preserve">[4] </w:t>
      </w:r>
      <w:proofErr w:type="spellStart"/>
      <w:r>
        <w:rPr>
          <w:rFonts w:asciiTheme="minorEastAsia" w:hAnsiTheme="minorEastAsia" w:cs="Times-Roman"/>
          <w:kern w:val="0"/>
          <w:szCs w:val="21"/>
        </w:rPr>
        <w:t>Marlies</w:t>
      </w:r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Penning, Jamie S. Chua, </w:t>
      </w:r>
      <w:proofErr w:type="spellStart"/>
      <w:r>
        <w:rPr>
          <w:rFonts w:asciiTheme="minorEastAsia" w:hAnsiTheme="minorEastAsia" w:cs="Times-Roman"/>
          <w:kern w:val="0"/>
          <w:szCs w:val="21"/>
        </w:rPr>
        <w:t>Cees</w:t>
      </w:r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van </w:t>
      </w:r>
      <w:proofErr w:type="spellStart"/>
      <w:r>
        <w:rPr>
          <w:rFonts w:asciiTheme="minorEastAsia" w:hAnsiTheme="minorEastAsia" w:cs="Times-Roman"/>
          <w:kern w:val="0"/>
          <w:szCs w:val="21"/>
        </w:rPr>
        <w:t>Kooten</w:t>
      </w:r>
      <w:proofErr w:type="spellEnd"/>
      <w:r>
        <w:rPr>
          <w:rFonts w:asciiTheme="minorEastAsia" w:hAnsiTheme="minorEastAsia" w:cs="Times-Roman" w:hint="eastAsia"/>
          <w:kern w:val="0"/>
          <w:szCs w:val="21"/>
        </w:rPr>
        <w:t xml:space="preserve">, et </w:t>
      </w:r>
      <w:proofErr w:type="spellStart"/>
      <w:r>
        <w:rPr>
          <w:rFonts w:asciiTheme="minorEastAsia" w:hAnsiTheme="minorEastAsia" w:cs="Times-Roman" w:hint="eastAsia"/>
          <w:kern w:val="0"/>
          <w:szCs w:val="21"/>
        </w:rPr>
        <w:t>al.</w:t>
      </w:r>
      <w:r>
        <w:rPr>
          <w:rFonts w:asciiTheme="minorEastAsia" w:hAnsiTheme="minorEastAsia" w:cs="Times-Roman"/>
          <w:kern w:val="0"/>
          <w:szCs w:val="21"/>
        </w:rPr>
        <w:t>Classical</w:t>
      </w:r>
      <w:proofErr w:type="spellEnd"/>
      <w:r>
        <w:rPr>
          <w:rFonts w:asciiTheme="minorEastAsia" w:hAnsiTheme="minorEastAsia" w:cs="Times-Roman"/>
          <w:kern w:val="0"/>
          <w:szCs w:val="21"/>
        </w:rPr>
        <w:t xml:space="preserve"> Complement Pathway Activation in the Kidneys of Women With Preeclampsia</w:t>
      </w:r>
      <w:bookmarkStart w:id="10" w:name="OLE_LINK12"/>
      <w:bookmarkStart w:id="11" w:name="OLE_LINK11"/>
      <w:r>
        <w:rPr>
          <w:rFonts w:asciiTheme="minorEastAsia" w:hAnsiTheme="minorEastAsia"/>
          <w:szCs w:val="21"/>
        </w:rPr>
        <w:t>[J]</w:t>
      </w:r>
      <w:r>
        <w:rPr>
          <w:rFonts w:asciiTheme="minorEastAsia" w:hAnsiTheme="minorEastAsia" w:hint="eastAsia"/>
          <w:szCs w:val="21"/>
        </w:rPr>
        <w:t>.</w:t>
      </w:r>
      <w:bookmarkEnd w:id="10"/>
      <w:bookmarkEnd w:id="11"/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Times-Roman"/>
          <w:kern w:val="0"/>
          <w:szCs w:val="21"/>
        </w:rPr>
        <w:t>Hypertension</w:t>
      </w:r>
      <w:r>
        <w:rPr>
          <w:rFonts w:asciiTheme="minorEastAsia" w:hAnsiTheme="minorEastAsia" w:cs="Times-Roman" w:hint="eastAsia"/>
          <w:kern w:val="0"/>
          <w:szCs w:val="21"/>
        </w:rPr>
        <w:t xml:space="preserve">, </w:t>
      </w:r>
      <w:r>
        <w:rPr>
          <w:rFonts w:asciiTheme="minorEastAsia" w:hAnsiTheme="minorEastAsia" w:cs="Times-Roman"/>
          <w:kern w:val="0"/>
        </w:rPr>
        <w:t>2015</w:t>
      </w:r>
      <w:r>
        <w:rPr>
          <w:rFonts w:asciiTheme="minorEastAsia" w:hAnsiTheme="minorEastAsia" w:cs="Times-Roman" w:hint="eastAsia"/>
          <w:kern w:val="0"/>
        </w:rPr>
        <w:t xml:space="preserve">, </w:t>
      </w:r>
      <w:r>
        <w:rPr>
          <w:rFonts w:asciiTheme="minorEastAsia" w:hAnsiTheme="minorEastAsia" w:cs="Times-Roman"/>
          <w:kern w:val="0"/>
        </w:rPr>
        <w:t>66:</w:t>
      </w:r>
      <w:r>
        <w:rPr>
          <w:rFonts w:asciiTheme="minorEastAsia" w:hAnsiTheme="minorEastAsia" w:cs="Times-Roman" w:hint="eastAsia"/>
          <w:kern w:val="0"/>
        </w:rPr>
        <w:t xml:space="preserve"> </w:t>
      </w:r>
      <w:r>
        <w:rPr>
          <w:rFonts w:asciiTheme="minorEastAsia" w:hAnsiTheme="minorEastAsia" w:cs="Times-Roman"/>
          <w:kern w:val="0"/>
        </w:rPr>
        <w:t>117-125</w:t>
      </w:r>
      <w:r>
        <w:rPr>
          <w:rFonts w:asciiTheme="minorEastAsia" w:hAnsiTheme="minorEastAsia" w:cs="Times-Roman" w:hint="eastAsia"/>
          <w:kern w:val="0"/>
        </w:rPr>
        <w:t>.</w:t>
      </w:r>
    </w:p>
    <w:p w:rsidR="003E600B" w:rsidRDefault="008873A6">
      <w:pPr>
        <w:rPr>
          <w:rFonts w:asciiTheme="minorEastAsia" w:hAnsiTheme="minorEastAsia" w:cs="Times-Roman"/>
          <w:kern w:val="0"/>
          <w:szCs w:val="21"/>
        </w:rPr>
      </w:pPr>
      <w:bookmarkStart w:id="12" w:name="OLE_LINK1"/>
      <w:bookmarkStart w:id="13" w:name="OLE_LINK2"/>
      <w:r>
        <w:rPr>
          <w:rFonts w:asciiTheme="minorEastAsia" w:hAnsiTheme="minorEastAsia" w:cs="Times-Roman" w:hint="eastAsia"/>
          <w:kern w:val="0"/>
          <w:szCs w:val="21"/>
        </w:rPr>
        <w:t>[5]</w:t>
      </w:r>
      <w:bookmarkEnd w:id="12"/>
      <w:bookmarkEnd w:id="13"/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刘兴会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王晓东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何国琳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子痫前期发病机制的研究现状及展望</w:t>
      </w:r>
      <w:bookmarkStart w:id="14" w:name="OLE_LINK4"/>
      <w:bookmarkStart w:id="15" w:name="OLE_LINK3"/>
      <w:r>
        <w:rPr>
          <w:rFonts w:asciiTheme="minorEastAsia" w:hAnsiTheme="minorEastAsia"/>
          <w:szCs w:val="21"/>
        </w:rPr>
        <w:t>[J]</w:t>
      </w:r>
      <w:bookmarkEnd w:id="14"/>
      <w:bookmarkEnd w:id="15"/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四川大学学报(医学版)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2015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01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99-103+2.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【基本信息】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注册人/生产企业名称：江西千分生物科技有限公司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住所：江西省新余市高新开发区渝东大道18号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联系方式：0790-6665259              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售后服务单位名称：江西千分生物科技有限公司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联系方式：0790-6665259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生产地址：江西省新余市高新开</w:t>
      </w:r>
      <w:bookmarkStart w:id="16" w:name="_GoBack"/>
      <w:bookmarkEnd w:id="16"/>
      <w:r>
        <w:rPr>
          <w:rFonts w:asciiTheme="minorEastAsia" w:hAnsiTheme="minorEastAsia" w:hint="eastAsia"/>
          <w:szCs w:val="21"/>
        </w:rPr>
        <w:t>发区渝东大道18号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生产许可证编号：</w:t>
      </w:r>
      <w:r w:rsidR="006F7595" w:rsidRPr="006F7595">
        <w:rPr>
          <w:rFonts w:asciiTheme="minorEastAsia" w:hAnsiTheme="minorEastAsia" w:hint="eastAsia"/>
          <w:szCs w:val="21"/>
        </w:rPr>
        <w:t>赣食药监械生产许20190285号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【医疗器械注册证编号/产品技术要求编号】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赣械注准20192400171</w:t>
      </w:r>
    </w:p>
    <w:p w:rsidR="003E600B" w:rsidRDefault="008873A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【说明书核准日期】</w:t>
      </w:r>
    </w:p>
    <w:p w:rsidR="003E600B" w:rsidRDefault="008873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2019年7月1日</w:t>
      </w:r>
    </w:p>
    <w:p w:rsidR="003E600B" w:rsidRDefault="003E600B">
      <w:pPr>
        <w:pStyle w:val="a7"/>
        <w:ind w:left="360" w:firstLineChars="0" w:firstLine="0"/>
        <w:rPr>
          <w:rFonts w:asciiTheme="minorEastAsia" w:hAnsiTheme="minorEastAsia"/>
          <w:szCs w:val="21"/>
        </w:rPr>
      </w:pPr>
    </w:p>
    <w:p w:rsidR="003E600B" w:rsidRDefault="003E600B">
      <w:pPr>
        <w:rPr>
          <w:rFonts w:asciiTheme="minorEastAsia" w:hAnsiTheme="minorEastAsia"/>
          <w:b/>
          <w:szCs w:val="21"/>
        </w:rPr>
      </w:pPr>
    </w:p>
    <w:sectPr w:rsidR="003E600B" w:rsidSect="00E9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83" w:rsidRDefault="00AF5683" w:rsidP="008F5C7D">
      <w:r>
        <w:separator/>
      </w:r>
    </w:p>
  </w:endnote>
  <w:endnote w:type="continuationSeparator" w:id="0">
    <w:p w:rsidR="00AF5683" w:rsidRDefault="00AF5683" w:rsidP="008F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宋体"/>
    <w:charset w:val="86"/>
    <w:family w:val="roman"/>
    <w:pitch w:val="default"/>
    <w:sig w:usb0="00000000" w:usb1="00000000" w:usb2="00000010" w:usb3="00000000" w:csb0="00040000" w:csb1="00000000"/>
  </w:font>
  <w:font w:name="OpenSans-Semibold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83" w:rsidRDefault="00AF5683" w:rsidP="008F5C7D">
      <w:r>
        <w:separator/>
      </w:r>
    </w:p>
  </w:footnote>
  <w:footnote w:type="continuationSeparator" w:id="0">
    <w:p w:rsidR="00AF5683" w:rsidRDefault="00AF5683" w:rsidP="008F5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094"/>
    <w:multiLevelType w:val="multilevel"/>
    <w:tmpl w:val="15F92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091882"/>
    <w:multiLevelType w:val="multilevel"/>
    <w:tmpl w:val="1909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EC4493"/>
    <w:multiLevelType w:val="multilevel"/>
    <w:tmpl w:val="23EC44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C74D3B"/>
    <w:multiLevelType w:val="multilevel"/>
    <w:tmpl w:val="44C74D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5E6A11"/>
    <w:multiLevelType w:val="multilevel"/>
    <w:tmpl w:val="665E6A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3F783E"/>
    <w:multiLevelType w:val="multilevel"/>
    <w:tmpl w:val="683F7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983FFC"/>
    <w:multiLevelType w:val="multilevel"/>
    <w:tmpl w:val="7B983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A5D"/>
    <w:rsid w:val="000259E6"/>
    <w:rsid w:val="00040FAA"/>
    <w:rsid w:val="00043ABA"/>
    <w:rsid w:val="00043C85"/>
    <w:rsid w:val="000517C1"/>
    <w:rsid w:val="00055394"/>
    <w:rsid w:val="00055727"/>
    <w:rsid w:val="00064A88"/>
    <w:rsid w:val="00074061"/>
    <w:rsid w:val="000741D7"/>
    <w:rsid w:val="0009767A"/>
    <w:rsid w:val="000B488E"/>
    <w:rsid w:val="000B7720"/>
    <w:rsid w:val="000C4371"/>
    <w:rsid w:val="000F46AC"/>
    <w:rsid w:val="00103047"/>
    <w:rsid w:val="00111903"/>
    <w:rsid w:val="001139E0"/>
    <w:rsid w:val="00131115"/>
    <w:rsid w:val="00133527"/>
    <w:rsid w:val="00155CE8"/>
    <w:rsid w:val="00170D3C"/>
    <w:rsid w:val="001819E9"/>
    <w:rsid w:val="00186E53"/>
    <w:rsid w:val="001C5430"/>
    <w:rsid w:val="001C5E6C"/>
    <w:rsid w:val="001D3803"/>
    <w:rsid w:val="00227887"/>
    <w:rsid w:val="00247760"/>
    <w:rsid w:val="002479C3"/>
    <w:rsid w:val="00265B23"/>
    <w:rsid w:val="00290B22"/>
    <w:rsid w:val="0029728E"/>
    <w:rsid w:val="002B5240"/>
    <w:rsid w:val="002C5D1F"/>
    <w:rsid w:val="002D13CE"/>
    <w:rsid w:val="002E5439"/>
    <w:rsid w:val="00305B72"/>
    <w:rsid w:val="0030777A"/>
    <w:rsid w:val="003170EF"/>
    <w:rsid w:val="00323257"/>
    <w:rsid w:val="00336BBA"/>
    <w:rsid w:val="00340E3C"/>
    <w:rsid w:val="003654A7"/>
    <w:rsid w:val="00367FF6"/>
    <w:rsid w:val="00374F3F"/>
    <w:rsid w:val="00382F87"/>
    <w:rsid w:val="003A5EBD"/>
    <w:rsid w:val="003E600B"/>
    <w:rsid w:val="00404F2D"/>
    <w:rsid w:val="00407F48"/>
    <w:rsid w:val="004262B5"/>
    <w:rsid w:val="00486237"/>
    <w:rsid w:val="00486DB8"/>
    <w:rsid w:val="004A0BF6"/>
    <w:rsid w:val="004A3102"/>
    <w:rsid w:val="004B5A5D"/>
    <w:rsid w:val="004C1C2E"/>
    <w:rsid w:val="004D2E3A"/>
    <w:rsid w:val="004E03DD"/>
    <w:rsid w:val="004E6D45"/>
    <w:rsid w:val="004E7DF1"/>
    <w:rsid w:val="004F1E8B"/>
    <w:rsid w:val="00502724"/>
    <w:rsid w:val="00503150"/>
    <w:rsid w:val="00540555"/>
    <w:rsid w:val="00577660"/>
    <w:rsid w:val="0058142E"/>
    <w:rsid w:val="005817D4"/>
    <w:rsid w:val="00583F2B"/>
    <w:rsid w:val="005B72DD"/>
    <w:rsid w:val="005C7719"/>
    <w:rsid w:val="005C7AB7"/>
    <w:rsid w:val="005E2365"/>
    <w:rsid w:val="005E3C37"/>
    <w:rsid w:val="005F62C4"/>
    <w:rsid w:val="0060371D"/>
    <w:rsid w:val="00606843"/>
    <w:rsid w:val="00615259"/>
    <w:rsid w:val="00633CF4"/>
    <w:rsid w:val="00634442"/>
    <w:rsid w:val="00646194"/>
    <w:rsid w:val="00656025"/>
    <w:rsid w:val="00656332"/>
    <w:rsid w:val="0069033D"/>
    <w:rsid w:val="006B039A"/>
    <w:rsid w:val="006C3004"/>
    <w:rsid w:val="006D6056"/>
    <w:rsid w:val="006F7595"/>
    <w:rsid w:val="00704FEC"/>
    <w:rsid w:val="007316C7"/>
    <w:rsid w:val="007433AB"/>
    <w:rsid w:val="00743A69"/>
    <w:rsid w:val="00766D25"/>
    <w:rsid w:val="00772D3D"/>
    <w:rsid w:val="00791BBF"/>
    <w:rsid w:val="007A0458"/>
    <w:rsid w:val="007A08B9"/>
    <w:rsid w:val="007B779F"/>
    <w:rsid w:val="007C5AEC"/>
    <w:rsid w:val="007D62DE"/>
    <w:rsid w:val="007F1FE0"/>
    <w:rsid w:val="007F38F5"/>
    <w:rsid w:val="007F4188"/>
    <w:rsid w:val="00853794"/>
    <w:rsid w:val="008873A6"/>
    <w:rsid w:val="008B0760"/>
    <w:rsid w:val="008E3E6A"/>
    <w:rsid w:val="008E64B5"/>
    <w:rsid w:val="008F088F"/>
    <w:rsid w:val="008F5C7D"/>
    <w:rsid w:val="00906EDD"/>
    <w:rsid w:val="00910C18"/>
    <w:rsid w:val="00927482"/>
    <w:rsid w:val="00957ACF"/>
    <w:rsid w:val="00962FDD"/>
    <w:rsid w:val="009809E8"/>
    <w:rsid w:val="00983DA0"/>
    <w:rsid w:val="0099057F"/>
    <w:rsid w:val="00997D26"/>
    <w:rsid w:val="009A376C"/>
    <w:rsid w:val="00A400B2"/>
    <w:rsid w:val="00A542F9"/>
    <w:rsid w:val="00A62652"/>
    <w:rsid w:val="00A73F83"/>
    <w:rsid w:val="00A751DF"/>
    <w:rsid w:val="00A75DEB"/>
    <w:rsid w:val="00A805F9"/>
    <w:rsid w:val="00A91495"/>
    <w:rsid w:val="00AC2958"/>
    <w:rsid w:val="00AE3898"/>
    <w:rsid w:val="00AF4E89"/>
    <w:rsid w:val="00AF5683"/>
    <w:rsid w:val="00AF61B1"/>
    <w:rsid w:val="00B02DAC"/>
    <w:rsid w:val="00B201A6"/>
    <w:rsid w:val="00B374E2"/>
    <w:rsid w:val="00B413C4"/>
    <w:rsid w:val="00B47DE2"/>
    <w:rsid w:val="00B50A49"/>
    <w:rsid w:val="00B64BB6"/>
    <w:rsid w:val="00B764B1"/>
    <w:rsid w:val="00B80A0D"/>
    <w:rsid w:val="00B83D92"/>
    <w:rsid w:val="00B939BD"/>
    <w:rsid w:val="00BC3355"/>
    <w:rsid w:val="00BC654A"/>
    <w:rsid w:val="00C04BB4"/>
    <w:rsid w:val="00C24F52"/>
    <w:rsid w:val="00C308CB"/>
    <w:rsid w:val="00C37F61"/>
    <w:rsid w:val="00C835BC"/>
    <w:rsid w:val="00C922EB"/>
    <w:rsid w:val="00C95EAE"/>
    <w:rsid w:val="00CC2639"/>
    <w:rsid w:val="00CC4522"/>
    <w:rsid w:val="00CD1CBF"/>
    <w:rsid w:val="00CD5116"/>
    <w:rsid w:val="00D311CC"/>
    <w:rsid w:val="00D46766"/>
    <w:rsid w:val="00D65587"/>
    <w:rsid w:val="00DB5280"/>
    <w:rsid w:val="00DC1607"/>
    <w:rsid w:val="00DC4806"/>
    <w:rsid w:val="00DD0CAA"/>
    <w:rsid w:val="00DE34CF"/>
    <w:rsid w:val="00DF4FA2"/>
    <w:rsid w:val="00DF62A7"/>
    <w:rsid w:val="00E00318"/>
    <w:rsid w:val="00E00818"/>
    <w:rsid w:val="00E0545C"/>
    <w:rsid w:val="00E34A7D"/>
    <w:rsid w:val="00E47ADF"/>
    <w:rsid w:val="00E52B9F"/>
    <w:rsid w:val="00E54111"/>
    <w:rsid w:val="00E562C0"/>
    <w:rsid w:val="00E635D8"/>
    <w:rsid w:val="00E93759"/>
    <w:rsid w:val="00E93D12"/>
    <w:rsid w:val="00EA438A"/>
    <w:rsid w:val="00EC0A42"/>
    <w:rsid w:val="00ED62CC"/>
    <w:rsid w:val="00EE22EC"/>
    <w:rsid w:val="00F23553"/>
    <w:rsid w:val="00F543F7"/>
    <w:rsid w:val="00F719EE"/>
    <w:rsid w:val="00F81130"/>
    <w:rsid w:val="00FA3159"/>
    <w:rsid w:val="00FA3D02"/>
    <w:rsid w:val="00FB4159"/>
    <w:rsid w:val="00FB7839"/>
    <w:rsid w:val="00FC0072"/>
    <w:rsid w:val="00FC0380"/>
    <w:rsid w:val="00FD46FC"/>
    <w:rsid w:val="00FF489D"/>
    <w:rsid w:val="54CB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5" type="arc" idref="#_x0000_s1079"/>
        <o:r id="V:Rule6" type="arc" idref="#_x0000_s1082"/>
        <o:r id="V:Rule9" type="connector" idref="#_x0000_s1071"/>
        <o:r id="V:Rule10" type="connector" idref="#_x0000_s1077"/>
        <o:r id="V:Rule11" type="connector" idref="#_x0000_s1084"/>
        <o:r id="V:Rule12" type="connector" idref="#_x0000_s1076"/>
        <o:r id="V:Rule13" type="connector" idref="#_x0000_s1072"/>
        <o:r id="V:Rule14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37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9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93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937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3759"/>
    <w:rPr>
      <w:sz w:val="18"/>
      <w:szCs w:val="18"/>
    </w:rPr>
  </w:style>
  <w:style w:type="paragraph" w:styleId="a7">
    <w:name w:val="List Paragraph"/>
    <w:basedOn w:val="a"/>
    <w:uiPriority w:val="34"/>
    <w:qFormat/>
    <w:rsid w:val="00E93759"/>
    <w:pPr>
      <w:ind w:firstLineChars="200" w:firstLine="420"/>
    </w:pPr>
  </w:style>
  <w:style w:type="paragraph" w:customStyle="1" w:styleId="a8">
    <w:name w:val="段"/>
    <w:uiPriority w:val="99"/>
    <w:rsid w:val="00E93759"/>
    <w:pPr>
      <w:autoSpaceDE w:val="0"/>
      <w:autoSpaceDN w:val="0"/>
      <w:ind w:firstLineChars="200" w:firstLine="200"/>
    </w:pPr>
    <w:rPr>
      <w:rFonts w:ascii="宋体" w:eastAsia="宋体" w:hAnsi="Times New Roman" w:cs="Times New Roman"/>
    </w:rPr>
  </w:style>
  <w:style w:type="character" w:customStyle="1" w:styleId="Char">
    <w:name w:val="批注框文本 Char"/>
    <w:basedOn w:val="a0"/>
    <w:link w:val="a3"/>
    <w:uiPriority w:val="99"/>
    <w:semiHidden/>
    <w:rsid w:val="00E937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37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-title">
    <w:name w:val="article-title"/>
    <w:basedOn w:val="a0"/>
    <w:qFormat/>
    <w:rsid w:val="00E93759"/>
  </w:style>
  <w:style w:type="character" w:customStyle="1" w:styleId="highwire-citation-author">
    <w:name w:val="highwire-citation-author"/>
    <w:basedOn w:val="a0"/>
    <w:rsid w:val="00E93759"/>
  </w:style>
  <w:style w:type="character" w:customStyle="1" w:styleId="apple-converted-space">
    <w:name w:val="apple-converted-space"/>
    <w:basedOn w:val="a0"/>
    <w:qFormat/>
    <w:rsid w:val="00E93759"/>
  </w:style>
  <w:style w:type="character" w:customStyle="1" w:styleId="highwire-cite-metadata-date">
    <w:name w:val="highwire-cite-metadata-date"/>
    <w:basedOn w:val="a0"/>
    <w:rsid w:val="00E93759"/>
  </w:style>
  <w:style w:type="character" w:customStyle="1" w:styleId="highwire-cite-metadata-volume">
    <w:name w:val="highwire-cite-metadata-volume"/>
    <w:basedOn w:val="a0"/>
    <w:qFormat/>
    <w:rsid w:val="00E93759"/>
  </w:style>
  <w:style w:type="character" w:customStyle="1" w:styleId="highwire-cite-metadata-pages">
    <w:name w:val="highwire-cite-metadata-pages"/>
    <w:basedOn w:val="a0"/>
    <w:qFormat/>
    <w:rsid w:val="00E93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1"/>
    <customShpInfo spid="_x0000_s1035"/>
    <customShpInfo spid="_x0000_s1036"/>
    <customShpInfo spid="_x0000_s1038"/>
    <customShpInfo spid="_x0000_s1039"/>
    <customShpInfo spid="_x0000_s1037"/>
    <customShpInfo spid="_x0000_s1034"/>
    <customShpInfo spid="_x0000_s1042"/>
    <customShpInfo spid="_x0000_s1043"/>
    <customShpInfo spid="_x0000_s1041"/>
    <customShpInfo spid="_x0000_s1045"/>
    <customShpInfo spid="_x0000_s1046"/>
    <customShpInfo spid="_x0000_s1047"/>
    <customShpInfo spid="_x0000_s1044"/>
    <customShpInfo spid="_x0000_s1040"/>
    <customShpInfo spid="_x0000_s1050"/>
    <customShpInfo spid="_x0000_s1051"/>
    <customShpInfo spid="_x0000_s1049"/>
    <customShpInfo spid="_x0000_s1052"/>
    <customShpInfo spid="_x0000_s1048"/>
    <customShpInfo spid="_x0000_s1053"/>
    <customShpInfo spid="_x0000_s1056"/>
    <customShpInfo spid="_x0000_s1057"/>
    <customShpInfo spid="_x0000_s1055"/>
    <customShpInfo spid="_x0000_s1058"/>
    <customShpInfo spid="_x0000_s1059"/>
    <customShpInfo spid="_x0000_s1054"/>
    <customShpInfo spid="_x0000_s1062"/>
    <customShpInfo spid="_x0000_s1063"/>
    <customShpInfo spid="_x0000_s1064"/>
    <customShpInfo spid="_x0000_s1061"/>
    <customShpInfo spid="_x0000_s1067"/>
    <customShpInfo spid="_x0000_s1068"/>
    <customShpInfo spid="_x0000_s1066"/>
    <customShpInfo spid="_x0000_s1069"/>
    <customShpInfo spid="_x0000_s1070"/>
    <customShpInfo spid="_x0000_s1065"/>
    <customShpInfo spid="_x0000_s1060"/>
    <customShpInfo spid="_x0000_s1071"/>
    <customShpInfo spid="_x0000_s1072"/>
    <customShpInfo spid="_x0000_s1074"/>
    <customShpInfo spid="_x0000_s1075"/>
    <customShpInfo spid="_x0000_s1073"/>
    <customShpInfo spid="_x0000_s1076"/>
    <customShpInfo spid="_x0000_s1077"/>
    <customShpInfo spid="_x0000_s1079"/>
    <customShpInfo spid="_x0000_s1080"/>
    <customShpInfo spid="_x0000_s1078"/>
    <customShpInfo spid="_x0000_s1082"/>
    <customShpInfo spid="_x0000_s1083"/>
    <customShpInfo spid="_x0000_s1081"/>
    <customShpInfo spid="_x0000_s1084"/>
    <customShpInfo spid="_x0000_s1085"/>
    <customShpInfo spid="_x0000_s1088"/>
    <customShpInfo spid="_x0000_s1089"/>
    <customShpInfo spid="_x0000_s1087"/>
    <customShpInfo spid="_x0000_s1090"/>
    <customShpInfo spid="_x0000_s108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4D97D-7B74-4F37-B272-02BCC498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5</Pages>
  <Words>621</Words>
  <Characters>3544</Characters>
  <Application>Microsoft Office Word</Application>
  <DocSecurity>0</DocSecurity>
  <Lines>29</Lines>
  <Paragraphs>8</Paragraphs>
  <ScaleCrop>false</ScaleCrop>
  <Company>微软中国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70</cp:revision>
  <cp:lastPrinted>2019-04-16T04:52:00Z</cp:lastPrinted>
  <dcterms:created xsi:type="dcterms:W3CDTF">2017-04-18T02:27:00Z</dcterms:created>
  <dcterms:modified xsi:type="dcterms:W3CDTF">2019-08-24T03:21:00Z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